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Programación Didáctica</w:t>
      </w:r>
    </w:p>
    <w:p>
      <w:pPr>
        <w:pStyle w:val="Normal"/>
        <w:spacing w:lineRule="auto" w:line="240" w:before="0" w:after="0"/>
        <w:jc w:val="center"/>
        <w:rPr>
          <w:rFonts w:ascii="Baskerville-SemiBold" w:hAnsi="Baskerville-SemiBold" w:cs="Baskerville-SemiBold"/>
          <w:b/>
          <w:b/>
          <w:bCs/>
          <w:i/>
          <w:i/>
          <w:color w:val="4C7297"/>
          <w:sz w:val="64"/>
          <w:szCs w:val="64"/>
        </w:rPr>
      </w:pPr>
      <w:r>
        <w:rPr>
          <w:rFonts w:cs="Baskerville-SemiBold" w:ascii="Baskerville-SemiBold" w:hAnsi="Baskerville-SemiBold"/>
          <w:b/>
          <w:bCs/>
          <w:i/>
          <w:color w:val="4C7297"/>
          <w:sz w:val="64"/>
          <w:szCs w:val="64"/>
        </w:rPr>
        <w:t xml:space="preserve">Patrimonio Artístico de Granada </w:t>
      </w:r>
    </w:p>
    <w:p>
      <w:pPr>
        <w:pStyle w:val="Normal"/>
        <w:spacing w:lineRule="auto" w:line="240" w:before="0" w:after="0"/>
        <w:jc w:val="center"/>
        <w:rPr/>
      </w:pPr>
      <w:r>
        <w:rPr>
          <w:rFonts w:cs="Baskerville-SemiBold" w:ascii="Baskerville-SemiBold" w:hAnsi="Baskerville-SemiBold"/>
          <w:b/>
          <w:bCs/>
          <w:color w:val="4C7297"/>
          <w:sz w:val="64"/>
          <w:szCs w:val="64"/>
        </w:rPr>
        <w:t>2</w:t>
      </w:r>
      <w:r>
        <w:rPr>
          <w:rFonts w:cs="Baskerville-SemiBold" w:ascii="Baskerville-SemiBold" w:hAnsi="Baskerville-SemiBold"/>
          <w:b/>
          <w:bCs/>
          <w:color w:val="4C7297"/>
          <w:sz w:val="64"/>
          <w:szCs w:val="64"/>
        </w:rPr>
        <w:t>º de la ESO</w:t>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t>DEPARTAMENTO DE GEOGRAFÍA E HISTORIA</w:t>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t>IES LOS NEVEROS</w:t>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pPr>
      <w:r>
        <w:rPr>
          <w:rFonts w:cs="Baskerville" w:ascii="Baskerville" w:hAnsi="Baskerville"/>
          <w:color w:val="5B5854"/>
          <w:sz w:val="36"/>
          <w:szCs w:val="36"/>
        </w:rPr>
        <w:t>Curso 202</w:t>
      </w:r>
      <w:r>
        <w:rPr>
          <w:rFonts w:cs="Baskerville" w:ascii="Baskerville" w:hAnsi="Baskerville"/>
          <w:color w:val="5B5854"/>
          <w:sz w:val="36"/>
          <w:szCs w:val="36"/>
        </w:rPr>
        <w:t>2</w:t>
      </w:r>
      <w:r>
        <w:rPr>
          <w:rFonts w:cs="Baskerville" w:ascii="Baskerville" w:hAnsi="Baskerville"/>
          <w:color w:val="5B5854"/>
          <w:sz w:val="36"/>
          <w:szCs w:val="36"/>
        </w:rPr>
        <w:t>/202</w:t>
      </w:r>
      <w:r>
        <w:rPr>
          <w:rFonts w:cs="Baskerville" w:ascii="Baskerville" w:hAnsi="Baskerville"/>
          <w:color w:val="5B5854"/>
          <w:sz w:val="36"/>
          <w:szCs w:val="36"/>
        </w:rPr>
        <w:t>3</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r>
        <w:br w:type="page"/>
      </w:r>
    </w:p>
    <w:p>
      <w:pPr>
        <w:pStyle w:val="Normal"/>
        <w:suppressAutoHyphens w:val="false"/>
        <w:spacing w:lineRule="auto" w:line="240" w:before="278" w:after="278"/>
        <w:jc w:val="center"/>
        <w:rPr>
          <w:rFonts w:ascii="Times New Roman" w:hAnsi="Times New Roman" w:eastAsia="Times New Roman" w:cs="Times New Roman"/>
          <w:b/>
          <w:b/>
          <w:bCs/>
          <w:sz w:val="27"/>
          <w:szCs w:val="27"/>
          <w:lang w:eastAsia="es-ES"/>
        </w:rPr>
      </w:pPr>
      <w:r>
        <w:rPr>
          <w:rFonts w:eastAsia="Times New Roman" w:cs="Times New Roman" w:ascii="Times New Roman" w:hAnsi="Times New Roman"/>
          <w:b/>
          <w:bCs/>
          <w:sz w:val="27"/>
          <w:szCs w:val="27"/>
          <w:lang w:eastAsia="es-ES"/>
        </w:rPr>
      </w:r>
      <w:r>
        <w:br w:type="page"/>
      </w:r>
    </w:p>
    <w:p>
      <w:pPr>
        <w:pStyle w:val="Normal"/>
        <w:suppressAutoHyphens w:val="false"/>
        <w:spacing w:lineRule="auto" w:line="240" w:before="278" w:after="278"/>
        <w:jc w:val="center"/>
        <w:rPr>
          <w:rFonts w:ascii="Times New Roman" w:hAnsi="Times New Roman" w:eastAsia="Times New Roman" w:cs="Times New Roman"/>
          <w:b/>
          <w:b/>
          <w:bCs/>
          <w:sz w:val="27"/>
          <w:szCs w:val="27"/>
          <w:lang w:eastAsia="es-ES"/>
        </w:rPr>
      </w:pPr>
      <w:r>
        <w:rPr>
          <w:rFonts w:eastAsia="Times New Roman" w:cs="Times New Roman" w:ascii="Times New Roman" w:hAnsi="Times New Roman"/>
          <w:b/>
          <w:bCs/>
          <w:sz w:val="27"/>
          <w:szCs w:val="27"/>
          <w:lang w:eastAsia="es-ES"/>
        </w:rPr>
      </w:r>
      <w:r>
        <w:br w:type="page"/>
      </w:r>
    </w:p>
    <w:p>
      <w:pPr>
        <w:pStyle w:val="Normal"/>
        <w:suppressAutoHyphens w:val="false"/>
        <w:spacing w:lineRule="auto" w:line="240" w:before="278" w:after="278"/>
        <w:jc w:val="center"/>
        <w:rPr>
          <w:rFonts w:ascii="Times New Roman" w:hAnsi="Times New Roman" w:eastAsia="Times New Roman" w:cs="Times New Roman"/>
          <w:b/>
          <w:b/>
          <w:bCs/>
          <w:sz w:val="27"/>
          <w:szCs w:val="27"/>
          <w:lang w:eastAsia="es-ES"/>
        </w:rPr>
      </w:pPr>
      <w:r>
        <w:rPr>
          <w:rFonts w:eastAsia="Times New Roman" w:cs="Times New Roman" w:ascii="Times New Roman" w:hAnsi="Times New Roman"/>
          <w:b/>
          <w:bCs/>
          <w:sz w:val="27"/>
          <w:szCs w:val="27"/>
          <w:lang w:eastAsia="es-ES"/>
        </w:rPr>
      </w:r>
      <w:r>
        <w:br w:type="page"/>
      </w:r>
    </w:p>
    <w:p>
      <w:pPr>
        <w:pStyle w:val="Normal"/>
        <w:suppressAutoHyphens w:val="false"/>
        <w:spacing w:lineRule="auto" w:line="240" w:before="278" w:after="278"/>
        <w:jc w:val="center"/>
        <w:rPr>
          <w:rFonts w:ascii="Times New Roman" w:hAnsi="Times New Roman" w:eastAsia="Times New Roman" w:cs="Times New Roman"/>
          <w:b/>
          <w:b/>
          <w:bCs/>
          <w:sz w:val="27"/>
          <w:szCs w:val="27"/>
          <w:lang w:eastAsia="es-ES"/>
        </w:rPr>
      </w:pPr>
      <w:r>
        <w:rPr>
          <w:rFonts w:eastAsia="Times New Roman" w:cs="Times New Roman" w:ascii="Times New Roman" w:hAnsi="Times New Roman"/>
          <w:b/>
          <w:bCs/>
          <w:sz w:val="27"/>
          <w:szCs w:val="27"/>
          <w:lang w:eastAsia="es-ES"/>
        </w:rPr>
      </w:r>
      <w:r>
        <w:br w:type="page"/>
      </w:r>
    </w:p>
    <w:p>
      <w:pPr>
        <w:pStyle w:val="Normal"/>
        <w:suppressAutoHyphens w:val="false"/>
        <w:spacing w:lineRule="auto" w:line="240" w:before="278" w:after="278"/>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PRESENTACIÓN DE LA MATERIA</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currículo en ESO no permite al alumnado tener un conocimiento adecuado sobre el patrimonio Granada. Por ello, y dado que en 2º, se estudian los periodos históricos (Edad Media y Edad Moderna) en cuyo patrimonio es rica nuestra ciudad, hemos creído conveniente ofrecer una materia de diseño propio que acerque al alumnado a la riqueza artística de nuestra ciudad.</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br/>
        <w:t xml:space="preserve">El Patrimonio es el conjunto de bienes y elementos materiales, inmateriales y naturales que nos ayudan a entender nuestra cultura y a mantener la cohesión social. Es algo vivo, que se ha ido fraguando con el paso del tiempo, pero que seguimos construyendo día a día, y que hace posible la permanencia de una diversidad cultural que nos enriquece. El Patrimonio nos muestra la pervivencia del pasado, nos otorga identidad y una herencia cultural compartida, nos muestra unos valores que han ido permaneciendo en la memoria y en el tiempo y establece vínculos entre personas y comunidades. </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79" w:after="278"/>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En este sentido, creemos que el trabajo sobre el patrimonio en el contexto educativo debe hacerse desde una perspectiva integradora, que tenga en cuenta la diversidad de dimensiones que lo constituyen y la diversidad de perspectivas desde las que puede ser abordado. Ese enfoque debe profundizar en la dimensión histórica y cultural del patrimonio como referencia básica para quienes integran una comunidad, como reflejo de una cultura compartida. </w:t>
      </w:r>
    </w:p>
    <w:p>
      <w:pPr>
        <w:pStyle w:val="Normal"/>
        <w:suppressAutoHyphens w:val="false"/>
        <w:spacing w:lineRule="auto" w:line="240" w:before="79" w:after="278"/>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La materia de Patrimonio Artístico de Granada completaría los contenidos abordados en otras materias de contenido histórico y geográfico en toda la Enseñanza Secundaria, contribuiría a desarrollar los contenidos transversales presentes en el currículo de secundaria, así como a fomentar la interdisciplinariedad. Para su estudio puede servir de referencia el marco normativo y conceptual de la Ley de Patrimonio Histórico de Andalucía. </w:t>
      </w:r>
    </w:p>
    <w:p>
      <w:pPr>
        <w:pStyle w:val="Normal"/>
        <w:suppressAutoHyphens w:val="false"/>
        <w:spacing w:lineRule="auto" w:line="240" w:before="79" w:after="278"/>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Por otra parte, las posibilidades que ofrece la sociedad digital y sus inmensos recursos, herramientas y aplicaciones tanto para el estudio como para la difusión del Patrimonio nos abren una nueva dimensión tanto para el trabajo en el aula de la materia como para una mayor concienciación de la importancia de su conservación y para la difusión social, haciendo al alumnado no solo protagonista de ese estudio, conservación y difusión de su propio patrimonio, sino también haciendo posible la creación de un nuevo patrimonio futuro. </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color w:val="000000"/>
          <w:sz w:val="27"/>
          <w:szCs w:val="27"/>
          <w:lang w:eastAsia="es-ES"/>
        </w:rPr>
        <w:t>1. OBJETIVOS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1.Objetivos de la etapa</w:t>
      </w:r>
    </w:p>
    <w:p>
      <w:pPr>
        <w:pStyle w:val="Normal"/>
        <w:suppressAutoHyphens w:val="false"/>
        <w:spacing w:lineRule="auto" w:line="288" w:beforeAutospacing="1" w:after="79"/>
        <w:rPr>
          <w:rFonts w:ascii="Times New Roman" w:hAnsi="Times New Roman" w:eastAsia="Times New Roman" w:cs="Times New Roman"/>
          <w:b/>
          <w:b/>
          <w:sz w:val="24"/>
          <w:szCs w:val="24"/>
          <w:lang w:eastAsia="es-ES"/>
        </w:rPr>
      </w:pPr>
      <w:r>
        <w:rPr>
          <w:rFonts w:eastAsia="Times New Roman" w:cs="Times New Roman" w:ascii="Times New Roman" w:hAnsi="Times New Roman"/>
          <w:b/>
          <w:sz w:val="24"/>
          <w:szCs w:val="24"/>
          <w:lang w:eastAsia="es-ES"/>
        </w:rPr>
        <w:t>Objetivos de la LOMCE</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a)</w:t>
      </w:r>
      <w:r>
        <w:rPr>
          <w:rFonts w:eastAsia="Times New Roman" w:cs="Times New Roman" w:ascii="Times New Roman" w:hAnsi="Times New Roman"/>
          <w:sz w:val="24"/>
          <w:szCs w:val="24"/>
          <w:lang w:eastAsia="es-ES"/>
        </w:rPr>
        <w:t xml:space="preserve"> Asumir responsablemente sus deberes, conocer y ejercer sus derechos en el respeto a los demás, practicar la tolerancia, la cooperación y la solidaridad entre las personas y grupos, ejercitarse en el diálogo afianzando los derechos humanos como valores comunes de una sociedad plural y prepararse para el ejercicio de la ciudadanía democrática.</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b)</w:t>
      </w:r>
      <w:r>
        <w:rPr>
          <w:rFonts w:eastAsia="Times New Roman" w:cs="Times New Roman" w:ascii="Times New Roman" w:hAnsi="Times New Roman"/>
          <w:sz w:val="24"/>
          <w:szCs w:val="24"/>
          <w:lang w:eastAsia="es-ES"/>
        </w:rPr>
        <w:t xml:space="preserve"> Desarrollar y consolidar hábitos de disciplina, estudio y trabajo individual y en equipo como condición necesaria para una realización eficaz de las tareas del aprendizaje y como medio de desarrollo personal.</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c)</w:t>
      </w:r>
      <w:r>
        <w:rPr>
          <w:rFonts w:eastAsia="Times New Roman" w:cs="Times New Roman" w:ascii="Times New Roman" w:hAnsi="Times New Roman"/>
          <w:sz w:val="24"/>
          <w:szCs w:val="24"/>
          <w:lang w:eastAsia="es-ES"/>
        </w:rPr>
        <w:t xml:space="preserve"> Valorar y respetar la diferencia de sexos y la igualdad de derechos y oportunidades entre ellos. Rechazar los estereotipos que supongan discriminación entre hombres y mujeres.</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d)</w:t>
      </w:r>
      <w:r>
        <w:rPr>
          <w:rFonts w:eastAsia="Times New Roman" w:cs="Times New Roman" w:ascii="Times New Roman" w:hAnsi="Times New Roman"/>
          <w:sz w:val="24"/>
          <w:szCs w:val="24"/>
          <w:lang w:eastAsia="es-ES"/>
        </w:rPr>
        <w:t xml:space="preserve"> Fortalecer sus capacidades afectivas en todos los ámbitos de la personalidad y en sus relaciones con los demás, así como rechazar la violencia, los prejuicios de cualquier tipo, los comportamientos sexistas y resolver pacíficamente los conflictos.</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e)</w:t>
      </w:r>
      <w:r>
        <w:rPr>
          <w:rFonts w:eastAsia="Times New Roman" w:cs="Times New Roman" w:ascii="Times New Roman" w:hAnsi="Times New Roman"/>
          <w:sz w:val="24"/>
          <w:szCs w:val="24"/>
          <w:lang w:eastAsia="es-ES"/>
        </w:rPr>
        <w:t xml:space="preserve"> Desarrollar destrezas básicas en la utilización de las fuentes de información para, con sentido crítico, adquirir nuevos conocimientos. Adquirir una preparación básica en el campo de las tecnologías, especialmente las de la información y la comunicación.</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g)</w:t>
      </w:r>
      <w:r>
        <w:rPr>
          <w:rFonts w:eastAsia="Times New Roman" w:cs="Times New Roman" w:ascii="Times New Roman" w:hAnsi="Times New Roman"/>
          <w:sz w:val="24"/>
          <w:szCs w:val="24"/>
          <w:lang w:eastAsia="es-ES"/>
        </w:rPr>
        <w:t xml:space="preserve"> Desarrollar el espíritu emprendedor y la confianza en sí mismo, la participación, el sentido crítico, la iniciativa personal y la capacidad para aprender a aprender, planificar, tomar decisiones y asumir responsabilidades.</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j)</w:t>
      </w:r>
      <w:r>
        <w:rPr>
          <w:rFonts w:eastAsia="Times New Roman" w:cs="Times New Roman" w:ascii="Times New Roman" w:hAnsi="Times New Roman"/>
          <w:sz w:val="24"/>
          <w:szCs w:val="24"/>
          <w:lang w:eastAsia="es-ES"/>
        </w:rPr>
        <w:t xml:space="preserve"> Conocer, valorar y respetar los aspectos básicos de la cultura y la historia propias y de los demás, así como el patrimonio artístico y cultural.</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l)</w:t>
      </w:r>
      <w:r>
        <w:rPr>
          <w:rFonts w:eastAsia="Times New Roman" w:cs="Times New Roman" w:ascii="Times New Roman" w:hAnsi="Times New Roman"/>
          <w:sz w:val="24"/>
          <w:szCs w:val="24"/>
          <w:lang w:eastAsia="es-ES"/>
        </w:rPr>
        <w:t xml:space="preserve"> Apreciar la creación artística y comprender el lenguaje de las distintas manifestaciones artísticas, utilizando diversos medios de expresión y representación.</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Además de los objetivos descritos en el apartado anterior, La Educación Secundaria Obligatoria Andalucía contribuirá a desarrollar en el alumnado las capacidades que le permitan:</w:t>
      </w:r>
    </w:p>
    <w:p>
      <w:pPr>
        <w:pStyle w:val="Normal"/>
        <w:numPr>
          <w:ilvl w:val="0"/>
          <w:numId w:val="1"/>
        </w:numPr>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Conocer y apreciar las peculiaridades de la modalidad lingüística andaluza en todas sus variedades.</w:t>
      </w:r>
    </w:p>
    <w:p>
      <w:pPr>
        <w:pStyle w:val="Normal"/>
        <w:numPr>
          <w:ilvl w:val="0"/>
          <w:numId w:val="1"/>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Conocer y apreciar los elementos específicos de la historia y cultura andaluza, así como su medio físico y natural y otros hechos diferenciadores de nuestra Comunidad, para que sea valorada y respetada como patrimonio propio y en el marco de la cultura española y universal.</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Baskerville" w:hAnsi="Baskerville"/>
          <w:b/>
          <w:bCs/>
          <w:sz w:val="24"/>
          <w:szCs w:val="24"/>
          <w:lang w:eastAsia="es-ES"/>
        </w:rPr>
        <w:t xml:space="preserve">1.2. </w:t>
      </w:r>
      <w:r>
        <w:rPr>
          <w:rFonts w:eastAsia="Times New Roman" w:cs="Times New Roman" w:ascii="Times New Roman" w:hAnsi="Times New Roman"/>
          <w:b/>
          <w:bCs/>
          <w:sz w:val="27"/>
          <w:szCs w:val="27"/>
          <w:lang w:eastAsia="es-ES"/>
        </w:rPr>
        <w:t>Objetivos de la materia</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br/>
      </w:r>
      <w:r>
        <w:rPr>
          <w:rFonts w:eastAsia="Times New Roman" w:cs="Times New Roman" w:ascii="Times New Roman" w:hAnsi="Times New Roman"/>
          <w:b/>
          <w:sz w:val="24"/>
          <w:szCs w:val="24"/>
          <w:lang w:eastAsia="es-ES"/>
        </w:rPr>
        <w:t>1.</w:t>
      </w:r>
      <w:r>
        <w:rPr>
          <w:rFonts w:eastAsia="Times New Roman" w:cs="Times New Roman" w:ascii="Times New Roman" w:hAnsi="Times New Roman"/>
          <w:sz w:val="24"/>
          <w:szCs w:val="24"/>
          <w:lang w:eastAsia="es-ES"/>
        </w:rPr>
        <w:t xml:space="preserve"> Conocer los grandes conjuntos monumentales y las principales manifestaciones artísticas de Granada, identificando las características más destacadas que permiten su clasificación en un determinado estilo artístico. </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2</w:t>
      </w:r>
      <w:r>
        <w:rPr>
          <w:rFonts w:eastAsia="Times New Roman" w:cs="Times New Roman" w:ascii="Times New Roman" w:hAnsi="Times New Roman"/>
          <w:sz w:val="24"/>
          <w:szCs w:val="24"/>
          <w:lang w:eastAsia="es-ES"/>
        </w:rPr>
        <w:t>. Situar en el espacio y en el tiempo las principales manifestaciones artísticas de nuestra ciudad y relacionarlas con el contexto en el que se desarrollan.</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3.</w:t>
      </w:r>
      <w:r>
        <w:rPr>
          <w:rFonts w:eastAsia="Times New Roman" w:cs="Times New Roman" w:ascii="Times New Roman" w:hAnsi="Times New Roman"/>
          <w:sz w:val="24"/>
          <w:szCs w:val="24"/>
          <w:lang w:eastAsia="es-ES"/>
        </w:rPr>
        <w:t xml:space="preserve"> Valorar la diversidad de corrientes o modelos estéticos que pueden desarrollarse en una misma época. </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5.</w:t>
      </w:r>
      <w:r>
        <w:rPr>
          <w:rFonts w:eastAsia="Times New Roman" w:cs="Times New Roman" w:ascii="Times New Roman" w:hAnsi="Times New Roman"/>
          <w:sz w:val="24"/>
          <w:szCs w:val="24"/>
          <w:lang w:eastAsia="es-ES"/>
        </w:rPr>
        <w:t xml:space="preserve"> Entender el patrimonio artístico en su globalidad, como exponente de la actividad creativa del hombre y valorarlo como documento de una época y cultura, desde sus aspectos interdisciplinares con otras materias.</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6.</w:t>
      </w:r>
      <w:r>
        <w:rPr>
          <w:rFonts w:eastAsia="Times New Roman" w:cs="Times New Roman" w:ascii="Times New Roman" w:hAnsi="Times New Roman"/>
          <w:sz w:val="24"/>
          <w:szCs w:val="24"/>
          <w:lang w:eastAsia="es-ES"/>
        </w:rPr>
        <w:t xml:space="preserve"> Valorar y disfrutar el patrimonio artístico, contribuyendo a su conservación y rechazando comportamientos o actitudes que lo deterioren. </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5.</w:t>
      </w:r>
      <w:r>
        <w:rPr>
          <w:rFonts w:eastAsia="Times New Roman" w:cs="Times New Roman" w:ascii="Times New Roman" w:hAnsi="Times New Roman"/>
          <w:sz w:val="24"/>
          <w:szCs w:val="24"/>
          <w:lang w:eastAsia="es-ES"/>
        </w:rPr>
        <w:t xml:space="preserve"> Conocer y apreciar nuestro patrimonio como fundamento de nuestra memoria colectiva, tradiciones y proyecto social de futuro.</w:t>
      </w:r>
    </w:p>
    <w:p>
      <w:pPr>
        <w:pStyle w:val="Normal"/>
        <w:suppressAutoHyphens w:val="false"/>
        <w:spacing w:lineRule="auto" w:line="240" w:before="79"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6.</w:t>
      </w:r>
      <w:r>
        <w:rPr>
          <w:rFonts w:eastAsia="Times New Roman" w:cs="Times New Roman" w:ascii="Times New Roman" w:hAnsi="Times New Roman"/>
          <w:sz w:val="24"/>
          <w:szCs w:val="24"/>
          <w:lang w:eastAsia="es-ES"/>
        </w:rPr>
        <w:t xml:space="preserve"> Desarrollar el gusto personal, la capacidad de goce estético y sentido crítico, y expresar sentimientos propios ante las manifestaciones artísticas.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2.CONTENIDOS</w:t>
      </w:r>
    </w:p>
    <w:tbl>
      <w:tblPr>
        <w:tblW w:w="8760" w:type="dxa"/>
        <w:jc w:val="left"/>
        <w:tblInd w:w="0" w:type="dxa"/>
        <w:tblCellMar>
          <w:top w:w="105" w:type="dxa"/>
          <w:left w:w="105" w:type="dxa"/>
          <w:bottom w:w="105" w:type="dxa"/>
          <w:right w:w="105" w:type="dxa"/>
        </w:tblCellMar>
        <w:tblLook w:val="04a0" w:noVBand="1" w:noHBand="0" w:lastColumn="0" w:firstColumn="1" w:lastRow="0" w:firstRow="1"/>
      </w:tblPr>
      <w:tblGrid>
        <w:gridCol w:w="4806"/>
        <w:gridCol w:w="3953"/>
      </w:tblGrid>
      <w:tr>
        <w:trPr/>
        <w:tc>
          <w:tcPr>
            <w:tcW w:w="4806"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Baskerville" w:hAnsi="Baskerville"/>
                <w:b/>
                <w:bCs/>
                <w:color w:val="343434"/>
                <w:sz w:val="24"/>
                <w:szCs w:val="24"/>
                <w:lang w:eastAsia="es-ES"/>
              </w:rPr>
              <w:t>CONTENIDOS</w:t>
            </w:r>
          </w:p>
        </w:tc>
        <w:tc>
          <w:tcPr>
            <w:tcW w:w="3953"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Baskerville" w:hAnsi="Baskerville"/>
                <w:b/>
                <w:bCs/>
                <w:color w:val="343434"/>
                <w:sz w:val="24"/>
                <w:szCs w:val="24"/>
                <w:lang w:eastAsia="es-ES"/>
              </w:rPr>
              <w:t>TEMPORALIZACIÓN</w:t>
            </w:r>
          </w:p>
        </w:tc>
      </w:tr>
      <w:tr>
        <w:trPr/>
        <w:tc>
          <w:tcPr>
            <w:tcW w:w="4806"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79"/>
              <w:rPr>
                <w:rFonts w:ascii="Times New Roman" w:hAnsi="Times New Roman" w:eastAsia="Times New Roman" w:cs="Times New Roman"/>
                <w:b/>
                <w:b/>
                <w:sz w:val="24"/>
                <w:szCs w:val="24"/>
                <w:lang w:eastAsia="es-ES"/>
              </w:rPr>
            </w:pPr>
            <w:r>
              <w:rPr>
                <w:rFonts w:eastAsia="Times New Roman" w:cs="Times New Roman" w:ascii="Baskerville" w:hAnsi="Baskerville"/>
                <w:b/>
                <w:color w:val="343434"/>
                <w:sz w:val="24"/>
                <w:szCs w:val="24"/>
                <w:lang w:eastAsia="es-ES"/>
              </w:rPr>
              <w:t>Bloque 1</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1.- El concepto patrimonio: Definición, tesoros y bienes culturales, riqueza y variedad patrimonial de Granada.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2.- Culturas históricas de Granada. Pueblos prehistóricos y prerromanos, aportaciones romana y paleocristiana. Patrimonio histórico y desarrollo urbano.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3.- El museo arqueológico.</w:t>
            </w:r>
          </w:p>
        </w:tc>
        <w:tc>
          <w:tcPr>
            <w:tcW w:w="395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Baskerville" w:hAnsi="Baskerville"/>
                <w:color w:val="343434"/>
                <w:sz w:val="24"/>
                <w:szCs w:val="24"/>
                <w:lang w:eastAsia="es-ES"/>
              </w:rPr>
              <w:t>1ª evaluación</w:t>
            </w:r>
          </w:p>
        </w:tc>
      </w:tr>
      <w:tr>
        <w:trPr/>
        <w:tc>
          <w:tcPr>
            <w:tcW w:w="4806"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79"/>
              <w:rPr>
                <w:rFonts w:ascii="Times New Roman" w:hAnsi="Times New Roman" w:eastAsia="Times New Roman" w:cs="Times New Roman"/>
                <w:b/>
                <w:b/>
                <w:sz w:val="24"/>
                <w:szCs w:val="24"/>
                <w:lang w:eastAsia="es-ES"/>
              </w:rPr>
            </w:pPr>
            <w:r>
              <w:rPr>
                <w:rFonts w:eastAsia="Times New Roman" w:cs="Times New Roman" w:ascii="Baskerville" w:hAnsi="Baskerville"/>
                <w:b/>
                <w:color w:val="343434"/>
                <w:sz w:val="24"/>
                <w:szCs w:val="24"/>
                <w:lang w:eastAsia="es-ES"/>
              </w:rPr>
              <w:t>Bloque 2.</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1.- La Granada musulmana.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 La Alhambra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b) Desarrollo urbanístico: El Albaycín.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2.- La Granada de los RR.CC.</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 El Hospital Real.</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3.- La Granada de Carlos V.</w:t>
            </w:r>
          </w:p>
          <w:p>
            <w:pPr>
              <w:pStyle w:val="Normal"/>
              <w:suppressAutoHyphens w:val="false"/>
              <w:spacing w:lineRule="auto" w:line="240" w:beforeAutospacing="1" w:after="79"/>
              <w:rPr>
                <w:rFonts w:ascii="Times New Roman" w:hAnsi="Times New Roman" w:eastAsia="Times New Roman" w:cs="Times New Roman"/>
                <w:sz w:val="24"/>
                <w:szCs w:val="24"/>
                <w:lang w:eastAsia="es-ES"/>
              </w:rPr>
            </w:pPr>
            <w:r>
              <w:rPr>
                <w:rFonts w:eastAsia="Times New Roman" w:cs="Times New Roman" w:ascii="Baskerville" w:hAnsi="Baskerville"/>
                <w:sz w:val="24"/>
                <w:szCs w:val="24"/>
                <w:lang w:eastAsia="es-ES"/>
              </w:rPr>
              <w:t>a) La Catedral y la Capilla Real.</w:t>
            </w:r>
          </w:p>
        </w:tc>
        <w:tc>
          <w:tcPr>
            <w:tcW w:w="395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Baskerville" w:hAnsi="Baskerville"/>
                <w:color w:val="343434"/>
                <w:sz w:val="24"/>
                <w:szCs w:val="24"/>
                <w:lang w:eastAsia="es-ES"/>
              </w:rPr>
              <w:t>2ª Evaluación</w:t>
            </w:r>
          </w:p>
        </w:tc>
      </w:tr>
      <w:tr>
        <w:trPr/>
        <w:tc>
          <w:tcPr>
            <w:tcW w:w="4806"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79"/>
              <w:rPr>
                <w:rFonts w:ascii="Times New Roman" w:hAnsi="Times New Roman" w:eastAsia="Times New Roman" w:cs="Times New Roman"/>
                <w:b/>
                <w:b/>
                <w:sz w:val="24"/>
                <w:szCs w:val="24"/>
                <w:lang w:eastAsia="es-ES"/>
              </w:rPr>
            </w:pPr>
            <w:r>
              <w:rPr>
                <w:rFonts w:eastAsia="Times New Roman" w:cs="Times New Roman" w:ascii="Baskerville" w:hAnsi="Baskerville"/>
                <w:b/>
                <w:color w:val="343434"/>
                <w:sz w:val="24"/>
                <w:szCs w:val="24"/>
                <w:lang w:eastAsia="es-ES"/>
              </w:rPr>
              <w:t>Bloque 3.</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1.- El Barroco granadino.</w:t>
            </w:r>
          </w:p>
          <w:p>
            <w:pPr>
              <w:pStyle w:val="Normal"/>
              <w:numPr>
                <w:ilvl w:val="0"/>
                <w:numId w:val="2"/>
              </w:numPr>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monasterio de la Cartuja.</w:t>
            </w:r>
          </w:p>
          <w:p>
            <w:pPr>
              <w:pStyle w:val="Normal"/>
              <w:numPr>
                <w:ilvl w:val="0"/>
                <w:numId w:val="2"/>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monasterio de San Jerónimo.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2.- El desarrollo urbano en el siglo XIX: La Gran Vía.</w:t>
            </w:r>
          </w:p>
        </w:tc>
        <w:tc>
          <w:tcPr>
            <w:tcW w:w="3953"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Baskerville" w:hAnsi="Baskerville"/>
                <w:color w:val="343434"/>
                <w:sz w:val="24"/>
                <w:szCs w:val="24"/>
                <w:lang w:eastAsia="es-ES"/>
              </w:rPr>
              <w:t>3 ª Evaluación</w:t>
            </w:r>
          </w:p>
        </w:tc>
      </w:tr>
    </w:tbl>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3.</w:t>
      </w:r>
      <w:r>
        <w:rPr>
          <w:rFonts w:eastAsia="Times New Roman" w:cs="Times New Roman" w:ascii="Times New Roman" w:hAnsi="Times New Roman"/>
          <w:b/>
          <w:bCs/>
          <w:sz w:val="24"/>
          <w:szCs w:val="24"/>
          <w:lang w:eastAsia="es-ES"/>
        </w:rPr>
        <w:t>CONTRIBUCIÓN DEL ÁREA A LAS COMPETENCIAS CLAVE</w:t>
      </w:r>
    </w:p>
    <w:p>
      <w:pPr>
        <w:pStyle w:val="Normal"/>
        <w:suppressAutoHyphens w:val="false"/>
        <w:spacing w:lineRule="auto" w:line="240" w:before="79" w:after="278"/>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br/>
        <w:t xml:space="preserve">Esta materia contribuye a la adquisición de todas las competencias claves, pero especialmente, y por sus características, al desarrollo de la competencia de conciencia y expresiones culturales (CEC), al promover principalmente el conocimiento y explicación de los hechos artísticos y culturales y el reconocimiento de los rasgos característicos de los diferentes estilos artísticos. También contribuye de manera efectiva al desarrollo de las competencias sociales y cívicas (CSC), al relacionar el desarrollo cultural y artístico con las sociedades en que se desenvuelven, y explicar la relación de estas con su legado patrimonial. Desarrolla la competencia digital (CD) al fomentar la búsqueda, tratamiento y difusión de la información a través de las nuevas tecnologías; y la competencia en comunicación lingüística (CCL) con la adquisición de un vocabulario específico, y el desarrollo de la capacidad expresiva del alumnado. El sentido de iniciativa y espíritu emprendedor (SIEP) se fomenta con la creatividad y la autonomía en el proceso de aprendizaje del alumnado, y la competencia de aprender a aprender (CAA) al promover el desarrollo de estrategias de pensamiento autónomo. </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color w:val="000000"/>
          <w:sz w:val="27"/>
          <w:szCs w:val="27"/>
          <w:lang w:eastAsia="es-ES"/>
        </w:rPr>
        <w:t>4. METODOLOGÍA</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La </w:t>
      </w:r>
      <w:r>
        <w:rPr>
          <w:rFonts w:eastAsia="Times New Roman" w:cs="Times New Roman" w:ascii="Times New Roman" w:hAnsi="Times New Roman"/>
          <w:b/>
          <w:sz w:val="24"/>
          <w:szCs w:val="24"/>
          <w:lang w:eastAsia="es-ES"/>
        </w:rPr>
        <w:t xml:space="preserve">Orden de 14 de Julio de 2016 </w:t>
      </w:r>
      <w:r>
        <w:rPr>
          <w:rFonts w:eastAsia="Times New Roman" w:cs="Times New Roman" w:ascii="Times New Roman" w:hAnsi="Times New Roman"/>
          <w:sz w:val="24"/>
          <w:szCs w:val="24"/>
          <w:lang w:eastAsia="es-ES"/>
        </w:rPr>
        <w:t xml:space="preserve">establece que las estrategias metodológica deben tener en cuenta las necesidades del alumnado y los objetivos previos. Así establece que es necesario “favorecer las metodologías </w:t>
      </w:r>
      <w:r>
        <w:rPr>
          <w:rFonts w:eastAsia="Times New Roman" w:cs="Times New Roman" w:ascii="Times New Roman" w:hAnsi="Times New Roman"/>
          <w:b/>
          <w:bCs/>
          <w:sz w:val="24"/>
          <w:szCs w:val="24"/>
          <w:lang w:eastAsia="es-ES"/>
        </w:rPr>
        <w:t>interactivas</w:t>
      </w:r>
      <w:r>
        <w:rPr>
          <w:rFonts w:eastAsia="Times New Roman" w:cs="Times New Roman" w:ascii="Times New Roman" w:hAnsi="Times New Roman"/>
          <w:sz w:val="24"/>
          <w:szCs w:val="24"/>
          <w:lang w:eastAsia="es-ES"/>
        </w:rPr>
        <w:t xml:space="preserve">, que faciliten los procesos de construcción del conocimiento y verbalización e intercambio de ideas; </w:t>
      </w:r>
      <w:r>
        <w:rPr>
          <w:rFonts w:eastAsia="Times New Roman" w:cs="Times New Roman" w:ascii="Times New Roman" w:hAnsi="Times New Roman"/>
          <w:b/>
          <w:bCs/>
          <w:sz w:val="24"/>
          <w:szCs w:val="24"/>
          <w:lang w:eastAsia="es-ES"/>
        </w:rPr>
        <w:t>dinámicas</w:t>
      </w:r>
      <w:r>
        <w:rPr>
          <w:rFonts w:eastAsia="Times New Roman" w:cs="Times New Roman" w:ascii="Times New Roman" w:hAnsi="Times New Roman"/>
          <w:sz w:val="24"/>
          <w:szCs w:val="24"/>
          <w:lang w:eastAsia="es-ES"/>
        </w:rPr>
        <w:t xml:space="preserve">, que permitan la combinación de variedad de recursos y escenarios didácticos; </w:t>
      </w:r>
      <w:r>
        <w:rPr>
          <w:rFonts w:eastAsia="Times New Roman" w:cs="Times New Roman" w:ascii="Times New Roman" w:hAnsi="Times New Roman"/>
          <w:b/>
          <w:bCs/>
          <w:sz w:val="24"/>
          <w:szCs w:val="24"/>
          <w:lang w:eastAsia="es-ES"/>
        </w:rPr>
        <w:t>motivadoras</w:t>
      </w:r>
      <w:r>
        <w:rPr>
          <w:rFonts w:eastAsia="Times New Roman" w:cs="Times New Roman" w:ascii="Times New Roman" w:hAnsi="Times New Roman"/>
          <w:sz w:val="24"/>
          <w:szCs w:val="24"/>
          <w:lang w:eastAsia="es-ES"/>
        </w:rPr>
        <w:t xml:space="preserve">, que incorporen al alumnado al proceso de enseñanza-aprendizaje haciéndole protagonista del mismo y a través de la presentación de temáticas cercanas a sus intereses y experiencias y </w:t>
      </w:r>
      <w:r>
        <w:rPr>
          <w:rFonts w:eastAsia="Times New Roman" w:cs="Times New Roman" w:ascii="Times New Roman" w:hAnsi="Times New Roman"/>
          <w:b/>
          <w:bCs/>
          <w:sz w:val="24"/>
          <w:szCs w:val="24"/>
          <w:lang w:eastAsia="es-ES"/>
        </w:rPr>
        <w:t>resolutivas</w:t>
      </w:r>
      <w:r>
        <w:rPr>
          <w:rFonts w:eastAsia="Times New Roman" w:cs="Times New Roman" w:ascii="Times New Roman" w:hAnsi="Times New Roman"/>
          <w:sz w:val="24"/>
          <w:szCs w:val="24"/>
          <w:lang w:eastAsia="es-ES"/>
        </w:rPr>
        <w:t>, centradas en el análisis y estudio de casos vinculados a problemáticas sociales relevantes y en la búsqueda de mecanismos de prevención y de soluciones para aquellas. De esta manera, se procurará que el alumnado desarrolle interés por la investigación y el conocimiento; adquiera hábitos de reflexión, pensamiento crítico y autocrítico, estudio y habilidades para el trabajo en equipo y sea capaz de un aprendizaje autónomo basado en el desarrollo de las competencias clave, la iniciativa personal, la conciencia de sus capacidades, intereses, deberes y límites.”</w:t>
      </w:r>
    </w:p>
    <w:p>
      <w:pPr>
        <w:pStyle w:val="Normal"/>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La Orden propone asimismo una serie de </w:t>
      </w:r>
      <w:r>
        <w:rPr>
          <w:rFonts w:eastAsia="Times New Roman" w:cs="Times New Roman" w:ascii="Times New Roman" w:hAnsi="Times New Roman"/>
          <w:b/>
          <w:bCs/>
          <w:sz w:val="24"/>
          <w:szCs w:val="24"/>
          <w:lang w:eastAsia="es-ES"/>
        </w:rPr>
        <w:t>actividades</w:t>
      </w:r>
      <w:r>
        <w:rPr>
          <w:rFonts w:eastAsia="Times New Roman" w:cs="Times New Roman" w:ascii="Times New Roman" w:hAnsi="Times New Roman"/>
          <w:sz w:val="24"/>
          <w:szCs w:val="24"/>
          <w:lang w:eastAsia="es-ES"/>
        </w:rPr>
        <w:t xml:space="preserve"> para favorecer este tipo de enseñanza-aprendizaje: </w:t>
      </w:r>
    </w:p>
    <w:p>
      <w:pPr>
        <w:pStyle w:val="Normal"/>
        <w:numPr>
          <w:ilvl w:val="0"/>
          <w:numId w:val="3"/>
        </w:numPr>
        <w:suppressAutoHyphens w:val="false"/>
        <w:spacing w:lineRule="auto" w:line="240"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proyectos</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estudios de caso</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juegos de rol o simulación</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debates</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exposiciones orales y disertaciones</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trabajos de investigación</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portfolios</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elaboración de documentos en soportes digitales y de otra naturaleza </w:t>
      </w:r>
    </w:p>
    <w:p>
      <w:pPr>
        <w:pStyle w:val="Normal"/>
        <w:numPr>
          <w:ilvl w:val="0"/>
          <w:numId w:val="3"/>
        </w:numPr>
        <w:suppressAutoHyphens w:val="false"/>
        <w:spacing w:lineRule="auto" w:line="240"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desarrollo de campañas y organizaciones relacionadas con el voluntariado. </w:t>
      </w:r>
    </w:p>
    <w:p>
      <w:pPr>
        <w:pStyle w:val="Normal"/>
        <w:suppressAutoHyphens w:val="false"/>
        <w:spacing w:lineRule="auto" w:line="240" w:before="79" w:after="278"/>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br/>
        <w:t xml:space="preserve">Por tanto, la metodología para impartir esta materia será activa y participativa, y potenciará la capacidad del alumnado para aprender por sí mismo fomentando el trabajo autónomo, el trabajo colaborativo, la utilización de técnicas de exposición y de indagación o investigación, el uso de las TIC y la aplicación de lo aprendido a la vida real. En este sentido, la materia de Patrimonio favorece especialmente el desarrollo dicha metodología ya que lo aprendido en el aula se reforzará y pondrá en práctica con las visitas que se llevarán a cabo para conocer y explicar el patrimonio local. </w:t>
      </w:r>
    </w:p>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La metodología a seguir</w:t>
      </w:r>
      <w:r>
        <w:rPr>
          <w:rFonts w:eastAsia="Times New Roman" w:cs="Times New Roman" w:ascii="Times New Roman" w:hAnsi="Times New Roman"/>
          <w:sz w:val="24"/>
          <w:szCs w:val="24"/>
          <w:lang w:eastAsia="es-ES"/>
        </w:rPr>
        <w:t xml:space="preserve"> en la materia de Patrimonio artístico de 2º, será la siguiente: </w:t>
      </w:r>
    </w:p>
    <w:p>
      <w:pPr>
        <w:pStyle w:val="Normal"/>
        <w:numPr>
          <w:ilvl w:val="0"/>
          <w:numId w:val="4"/>
        </w:numPr>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Explicación en clase por la profesora.</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Realización en el aula y fuera de actividades y tareas elaboradas por el profesor usando las nuevas tecnologías.</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Comentario de obras artísticas.</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Organización de grupos cooperativos e interactivos para realizar tareas en equipo y cuyo diseño se explica con más detalle a continuación.</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Organización de grupos cooperativos para resolver las tareas finales o de repaso.</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Tras cada Unidad Didáctica se hará un repaso general y resolución de dudas. Para ello se utilizará la “ tarea rica” elaborada por la profesora. </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Elaboración de trabajos de investigación de carácter obligatorio por parejas o individual, con posterior exposición oral acompañado de una presentación digital.</w:t>
      </w:r>
    </w:p>
    <w:p>
      <w:pPr>
        <w:pStyle w:val="Normal"/>
        <w:numPr>
          <w:ilvl w:val="0"/>
          <w:numId w:val="4"/>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Visita a los elementos del patrimonio estudiado.</w:t>
      </w:r>
    </w:p>
    <w:p>
      <w:pPr>
        <w:pStyle w:val="Normal"/>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 xml:space="preserve">El IES Los Neveros es una Comunidad de Aprendizaje </w:t>
      </w:r>
      <w:r>
        <w:rPr>
          <w:rFonts w:eastAsia="Times New Roman" w:cs="Times New Roman" w:ascii="Times New Roman" w:hAnsi="Times New Roman"/>
          <w:sz w:val="24"/>
          <w:szCs w:val="24"/>
          <w:lang w:eastAsia="es-ES"/>
        </w:rPr>
        <w:t xml:space="preserve">y ,por tanto, un buen porcentaje de las actividades diseñadas para esta materia tendrán forma de trabajo en equipo, ya sea grupos cooperativos o interactivos, así como exposiciones orales y de investigación que también se harán en grupo. </w:t>
      </w:r>
    </w:p>
    <w:p>
      <w:pPr>
        <w:pStyle w:val="Normal"/>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GRUPOS COOPERATIVOS</w:t>
      </w:r>
      <w:r>
        <w:rPr>
          <w:rFonts w:eastAsia="Times New Roman" w:cs="Times New Roman" w:ascii="Times New Roman" w:hAnsi="Times New Roman"/>
          <w:sz w:val="24"/>
          <w:szCs w:val="24"/>
          <w:lang w:eastAsia="es-ES"/>
        </w:rPr>
        <w:t>: Consiste en actividades que se resuelven en grupos de cuatro o cinco alumnos en los que cada uno tiene un papel que cumplir (el secretario, el portavoz, el que controla que el grupo trabaje y tenga buena actitud, y el que garantiza que todos participan en la tarea y la entienden). ,</w:t>
      </w:r>
    </w:p>
    <w:p>
      <w:pPr>
        <w:pStyle w:val="Normal"/>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b/>
          <w:sz w:val="24"/>
          <w:szCs w:val="24"/>
          <w:lang w:eastAsia="es-ES"/>
        </w:rPr>
        <w:t>GRUPOS INTERACTIVOS:</w:t>
      </w:r>
      <w:r>
        <w:rPr>
          <w:rFonts w:eastAsia="Times New Roman" w:cs="Times New Roman" w:ascii="Times New Roman" w:hAnsi="Times New Roman"/>
          <w:sz w:val="24"/>
          <w:szCs w:val="24"/>
          <w:lang w:eastAsia="es-ES"/>
        </w:rPr>
        <w:t xml:space="preserve"> En este caso, cada grupo contará con la presencia de un adulto voluntario (padre, madre, profesor) que controlará la buena marcha de la tarea. </w:t>
      </w:r>
    </w:p>
    <w:p>
      <w:pPr>
        <w:pStyle w:val="Normal"/>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RECURSOS</w:t>
      </w:r>
    </w:p>
    <w:p>
      <w:pPr>
        <w:pStyle w:val="Normal"/>
        <w:numPr>
          <w:ilvl w:val="0"/>
          <w:numId w:val="5"/>
        </w:numPr>
        <w:suppressAutoHyphens w:val="false"/>
        <w:spacing w:lineRule="auto" w:line="288"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Recursos elaborados por la profesora.</w:t>
      </w:r>
    </w:p>
    <w:p>
      <w:pPr>
        <w:pStyle w:val="Normal"/>
        <w:numPr>
          <w:ilvl w:val="0"/>
          <w:numId w:val="5"/>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Materiales elaborados por el Gabinete pedagógico de Bellas Artes de Granada.</w:t>
      </w:r>
    </w:p>
    <w:p>
      <w:pPr>
        <w:pStyle w:val="Normal"/>
        <w:numPr>
          <w:ilvl w:val="0"/>
          <w:numId w:val="5"/>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Manuales y demás recursos bibliográficos y digitales disponibles en el Departamento de varias editoriales. </w:t>
      </w:r>
    </w:p>
    <w:p>
      <w:pPr>
        <w:pStyle w:val="Normal"/>
        <w:numPr>
          <w:ilvl w:val="0"/>
          <w:numId w:val="5"/>
        </w:numPr>
        <w:suppressAutoHyphens w:val="false"/>
        <w:spacing w:lineRule="auto" w:line="288"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w:t>
      </w:r>
      <w:r>
        <w:rPr>
          <w:rFonts w:eastAsia="Times New Roman" w:cs="Times New Roman" w:ascii="Times New Roman" w:hAnsi="Times New Roman"/>
          <w:sz w:val="24"/>
          <w:szCs w:val="24"/>
          <w:lang w:eastAsia="es-ES"/>
        </w:rPr>
        <w:t>Tareas ricas” elaboradas por la profesora.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METODOLOGÍA Y RECURSOS PARA CLASES NO PRESENCIALES.</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El alumnado tendrá acceso a la programación de la materia en la plataforma </w:t>
      </w:r>
      <w:r>
        <w:rPr>
          <w:rFonts w:eastAsia="Times New Roman" w:cs="Times New Roman" w:ascii="Times New Roman" w:hAnsi="Times New Roman"/>
          <w:i/>
          <w:iCs/>
          <w:sz w:val="24"/>
          <w:szCs w:val="24"/>
          <w:lang w:eastAsia="es-ES"/>
        </w:rPr>
        <w:t>classroom</w:t>
      </w:r>
      <w:r>
        <w:rPr>
          <w:rFonts w:eastAsia="Times New Roman" w:cs="Times New Roman" w:ascii="Times New Roman" w:hAnsi="Times New Roman"/>
          <w:sz w:val="24"/>
          <w:szCs w:val="24"/>
          <w:lang w:eastAsia="es-ES"/>
        </w:rPr>
        <w:t>.</w:t>
      </w:r>
      <w:r>
        <w:rPr>
          <w:rFonts w:eastAsia="Times New Roman" w:cs="Times New Roman" w:ascii="Times New Roman" w:hAnsi="Times New Roman"/>
          <w:b/>
          <w:bCs/>
          <w:sz w:val="24"/>
          <w:szCs w:val="24"/>
          <w:lang w:eastAsia="es-ES"/>
        </w:rPr>
        <w:t xml:space="preserve"> </w:t>
      </w:r>
      <w:r>
        <w:rPr>
          <w:rFonts w:eastAsia="Times New Roman" w:cs="Times New Roman" w:ascii="Times New Roman" w:hAnsi="Times New Roman"/>
          <w:sz w:val="24"/>
          <w:szCs w:val="24"/>
          <w:lang w:eastAsia="es-ES"/>
        </w:rPr>
        <w:t xml:space="preserve">Asimismo, tendrá también a su disposición en esta plataforma las UDI,s que se vayan a desarrollar a lo largo del curso. En ellas, además de los contenidos nucleares de cada tema, así como los criterios y estándares básicos de aprendizaje, se especificaran las actividades y recursos que se utilizarán para trabajar el tema, y las herramientas seleccionadas para evaluarlo. </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Cada UDI finalizará con la elaboración de una “tarea rica” cuyo objetivo es:</w:t>
      </w:r>
    </w:p>
    <w:p>
      <w:pPr>
        <w:pStyle w:val="Normal"/>
        <w:numPr>
          <w:ilvl w:val="0"/>
          <w:numId w:val="6"/>
        </w:numPr>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Sintetizar los contenidos imprescindibles.</w:t>
      </w:r>
    </w:p>
    <w:p>
      <w:pPr>
        <w:pStyle w:val="Normal"/>
        <w:numPr>
          <w:ilvl w:val="0"/>
          <w:numId w:val="6"/>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Reforzar el proceso de aprendizaje.</w:t>
      </w:r>
    </w:p>
    <w:p>
      <w:pPr>
        <w:pStyle w:val="Normal"/>
        <w:numPr>
          <w:ilvl w:val="0"/>
          <w:numId w:val="6"/>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Fomentar el trabajo multidisciplinar.</w:t>
      </w:r>
    </w:p>
    <w:p>
      <w:pPr>
        <w:pStyle w:val="Normal"/>
        <w:numPr>
          <w:ilvl w:val="0"/>
          <w:numId w:val="6"/>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Contribuir a la consecución de los objetivos y competencias clave del curso.</w:t>
      </w:r>
    </w:p>
    <w:p>
      <w:pPr>
        <w:pStyle w:val="Normal"/>
        <w:numPr>
          <w:ilvl w:val="0"/>
          <w:numId w:val="6"/>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Pootenciar la adaptación al contexto en el que nos encontramos.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En cuanto a las estrategias metodológicas se proponen:</w:t>
      </w:r>
    </w:p>
    <w:p>
      <w:pPr>
        <w:pStyle w:val="Normal"/>
        <w:numPr>
          <w:ilvl w:val="0"/>
          <w:numId w:val="7"/>
        </w:numPr>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Aprendizaje basado en Proyectos.</w:t>
      </w:r>
    </w:p>
    <w:p>
      <w:pPr>
        <w:pStyle w:val="Normal"/>
        <w:numPr>
          <w:ilvl w:val="0"/>
          <w:numId w:val="7"/>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Aprendizaje cooperativo y Comunidades de Aprendizaje.</w:t>
      </w:r>
    </w:p>
    <w:p>
      <w:pPr>
        <w:pStyle w:val="Normal"/>
        <w:numPr>
          <w:ilvl w:val="0"/>
          <w:numId w:val="7"/>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Desarrollo de la competencia lectora, la expresión y la comunicación oral y escrita.</w:t>
      </w:r>
    </w:p>
    <w:p>
      <w:pPr>
        <w:pStyle w:val="Normal"/>
        <w:numPr>
          <w:ilvl w:val="0"/>
          <w:numId w:val="7"/>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Dominio de la competencia matemática a través de la resolución de problemas de diversa índole social, política, económica y moral.</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De acuerdo con estas estrategias, las actividades a desarrollar serán:</w:t>
      </w:r>
    </w:p>
    <w:p>
      <w:pPr>
        <w:pStyle w:val="Normal"/>
        <w:numPr>
          <w:ilvl w:val="0"/>
          <w:numId w:val="8"/>
        </w:numPr>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Actividades de creación escrita.</w:t>
      </w:r>
    </w:p>
    <w:p>
      <w:pPr>
        <w:pStyle w:val="Normal"/>
        <w:numPr>
          <w:ilvl w:val="0"/>
          <w:numId w:val="8"/>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Actividades de creación audiovisual: Power Point e infografías.</w:t>
      </w:r>
    </w:p>
    <w:p>
      <w:pPr>
        <w:pStyle w:val="Normal"/>
        <w:numPr>
          <w:ilvl w:val="0"/>
          <w:numId w:val="8"/>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Actividades orales.</w:t>
      </w:r>
    </w:p>
    <w:p>
      <w:pPr>
        <w:pStyle w:val="Normal"/>
        <w:numPr>
          <w:ilvl w:val="0"/>
          <w:numId w:val="8"/>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Pruebas escritas.</w:t>
      </w:r>
    </w:p>
    <w:p>
      <w:pPr>
        <w:pStyle w:val="Normal"/>
        <w:numPr>
          <w:ilvl w:val="0"/>
          <w:numId w:val="8"/>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Pruebas orales.</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Además de la plataforma </w:t>
      </w:r>
      <w:r>
        <w:rPr>
          <w:rFonts w:eastAsia="Times New Roman" w:cs="Times New Roman" w:ascii="Times New Roman" w:hAnsi="Times New Roman"/>
          <w:i/>
          <w:iCs/>
          <w:sz w:val="24"/>
          <w:szCs w:val="24"/>
          <w:lang w:eastAsia="es-ES"/>
        </w:rPr>
        <w:t>classroom</w:t>
      </w:r>
      <w:r>
        <w:rPr>
          <w:rFonts w:eastAsia="Times New Roman" w:cs="Times New Roman" w:ascii="Times New Roman" w:hAnsi="Times New Roman"/>
          <w:sz w:val="24"/>
          <w:szCs w:val="24"/>
          <w:lang w:eastAsia="es-ES"/>
        </w:rPr>
        <w:t xml:space="preserve"> se utilizará también el correo electrónico como medio de comunicación con el alumnado y su familia.</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5. EVALUACIÓN</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5.1 Procedimientos e instrumentos de evaluación</w:t>
      </w:r>
    </w:p>
    <w:p>
      <w:pPr>
        <w:pStyle w:val="Normal"/>
        <w:suppressAutoHyphens w:val="false"/>
        <w:spacing w:lineRule="auto" w:line="288"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Se utilizarán los siguientes instrumentos de evaluación: </w:t>
      </w:r>
    </w:p>
    <w:p>
      <w:pPr>
        <w:pStyle w:val="Normal"/>
        <w:numPr>
          <w:ilvl w:val="0"/>
          <w:numId w:val="9"/>
        </w:numPr>
        <w:suppressAutoHyphens w:val="false"/>
        <w:spacing w:lineRule="auto" w:line="288"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Seguimiento diario</w:t>
      </w:r>
      <w:r>
        <w:rPr>
          <w:rFonts w:eastAsia="Times New Roman" w:cs="Times New Roman" w:ascii="Times New Roman" w:hAnsi="Times New Roman"/>
          <w:sz w:val="24"/>
          <w:szCs w:val="24"/>
          <w:lang w:eastAsia="es-ES"/>
        </w:rPr>
        <w:t xml:space="preserve"> del alumno tanto de su trabajo en clase como de las tareas que realizará en casa. </w:t>
      </w:r>
    </w:p>
    <w:p>
      <w:pPr>
        <w:pStyle w:val="Normal"/>
        <w:numPr>
          <w:ilvl w:val="0"/>
          <w:numId w:val="9"/>
        </w:numPr>
        <w:suppressAutoHyphens w:val="false"/>
        <w:spacing w:lineRule="auto" w:line="288" w:before="0"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Evaluación de trabajos</w:t>
      </w:r>
      <w:r>
        <w:rPr>
          <w:rFonts w:eastAsia="Times New Roman" w:cs="Times New Roman" w:ascii="Times New Roman" w:hAnsi="Times New Roman"/>
          <w:sz w:val="24"/>
          <w:szCs w:val="24"/>
          <w:lang w:eastAsia="es-ES"/>
        </w:rPr>
        <w:t xml:space="preserve"> de investigación o escritos, exposiciones orales y trabajos en equipo.</w:t>
      </w:r>
    </w:p>
    <w:p>
      <w:pPr>
        <w:pStyle w:val="Normal"/>
        <w:numPr>
          <w:ilvl w:val="0"/>
          <w:numId w:val="9"/>
        </w:numPr>
        <w:suppressAutoHyphens w:val="false"/>
        <w:spacing w:lineRule="auto" w:line="288" w:before="0"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Pruebas escritas</w:t>
      </w:r>
      <w:r>
        <w:rPr>
          <w:rFonts w:eastAsia="Times New Roman" w:cs="Times New Roman" w:ascii="Times New Roman" w:hAnsi="Times New Roman"/>
          <w:sz w:val="24"/>
          <w:szCs w:val="24"/>
          <w:lang w:eastAsia="es-ES"/>
        </w:rPr>
        <w:t>.</w:t>
      </w:r>
    </w:p>
    <w:p>
      <w:pPr>
        <w:pStyle w:val="Normal"/>
        <w:suppressAutoHyphens w:val="false"/>
        <w:spacing w:lineRule="auto" w:line="288" w:beforeAutospacing="1" w:after="79"/>
        <w:ind w:left="720" w:hanging="0"/>
        <w:jc w:val="both"/>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En los periodos de enseñanza</w:t>
      </w:r>
      <w:r>
        <w:rPr>
          <w:rFonts w:eastAsia="Times New Roman" w:cs="Times New Roman" w:ascii="Times New Roman" w:hAnsi="Times New Roman"/>
          <w:sz w:val="24"/>
          <w:szCs w:val="24"/>
          <w:lang w:eastAsia="es-ES"/>
        </w:rPr>
        <w:t xml:space="preserve"> </w:t>
      </w:r>
      <w:r>
        <w:rPr>
          <w:rFonts w:eastAsia="Times New Roman" w:cs="Times New Roman" w:ascii="Times New Roman" w:hAnsi="Times New Roman"/>
          <w:b/>
          <w:bCs/>
          <w:sz w:val="24"/>
          <w:szCs w:val="24"/>
          <w:lang w:eastAsia="es-ES"/>
        </w:rPr>
        <w:t>no presencial</w:t>
      </w:r>
      <w:r>
        <w:rPr>
          <w:rFonts w:eastAsia="Times New Roman" w:cs="Times New Roman" w:ascii="Times New Roman" w:hAnsi="Times New Roman"/>
          <w:sz w:val="24"/>
          <w:szCs w:val="24"/>
          <w:lang w:eastAsia="es-ES"/>
        </w:rPr>
        <w:t xml:space="preserve"> las pruebas escritas serán sustituidas por pruebas -orales, las cuales constituirán al menos un 40% de la calificación final.</w:t>
      </w:r>
    </w:p>
    <w:p>
      <w:pPr>
        <w:pStyle w:val="Normal"/>
        <w:numPr>
          <w:ilvl w:val="0"/>
          <w:numId w:val="9"/>
        </w:numPr>
        <w:suppressAutoHyphens w:val="false"/>
        <w:spacing w:lineRule="auto" w:line="240" w:beforeAutospacing="1"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La evaluación se basará en los </w:t>
      </w:r>
      <w:r>
        <w:rPr>
          <w:rFonts w:eastAsia="Times New Roman" w:cs="Times New Roman" w:ascii="Times New Roman" w:hAnsi="Times New Roman"/>
          <w:b/>
          <w:bCs/>
          <w:sz w:val="24"/>
          <w:szCs w:val="24"/>
          <w:lang w:eastAsia="es-ES"/>
        </w:rPr>
        <w:t>estándares básicos</w:t>
      </w:r>
      <w:r>
        <w:rPr>
          <w:rFonts w:eastAsia="Times New Roman" w:cs="Times New Roman" w:ascii="Times New Roman" w:hAnsi="Times New Roman"/>
          <w:sz w:val="24"/>
          <w:szCs w:val="24"/>
          <w:lang w:eastAsia="es-ES"/>
        </w:rPr>
        <w:t xml:space="preserve"> seleccionados de acuerdo con los contenidos imprescindibles establecidos para cada unidad didáctica.</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Por otro lado, se potenciará los procesos de autoevaluación, tanto por parte del alumnado como del profesorado. Para el profesorado se elaborarán cuestionarios que deberá rellenar todo el alumnado. Por su parte, el alumnado tendrá a su disposición en </w:t>
      </w:r>
      <w:r>
        <w:rPr>
          <w:rFonts w:eastAsia="Times New Roman" w:cs="Times New Roman" w:ascii="Times New Roman" w:hAnsi="Times New Roman"/>
          <w:i/>
          <w:iCs/>
          <w:sz w:val="24"/>
          <w:szCs w:val="24"/>
          <w:lang w:eastAsia="es-ES"/>
        </w:rPr>
        <w:t xml:space="preserve">classroom </w:t>
      </w:r>
      <w:r>
        <w:rPr>
          <w:rFonts w:eastAsia="Times New Roman" w:cs="Times New Roman" w:ascii="Times New Roman" w:hAnsi="Times New Roman"/>
          <w:sz w:val="24"/>
          <w:szCs w:val="24"/>
          <w:lang w:eastAsia="es-ES"/>
        </w:rPr>
        <w:t>las diferentes rúbricas utilizadas por la profesar/a:</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Trabajos escritos y/o de investigación.</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Exposiciones orales y debates.</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Competencia lingüística.</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Competencia matemática.</w:t>
      </w:r>
    </w:p>
    <w:p>
      <w:pPr>
        <w:pStyle w:val="Normal"/>
        <w:numPr>
          <w:ilvl w:val="0"/>
          <w:numId w:val="9"/>
        </w:numPr>
        <w:suppressAutoHyphens w:val="false"/>
        <w:spacing w:lineRule="auto" w:line="240" w:before="0"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Competencia digital.</w:t>
      </w:r>
    </w:p>
    <w:p>
      <w:pPr>
        <w:pStyle w:val="Normal"/>
        <w:numPr>
          <w:ilvl w:val="0"/>
          <w:numId w:val="9"/>
        </w:numPr>
        <w:suppressAutoHyphens w:val="false"/>
        <w:spacing w:lineRule="auto" w:line="288" w:before="0" w:after="79"/>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Para facilitar el trabajo de observación de cada procedimiento de evaluación, se utilizarán las siguientes </w:t>
      </w:r>
      <w:r>
        <w:rPr>
          <w:rFonts w:eastAsia="Times New Roman" w:cs="Times New Roman" w:ascii="Times New Roman" w:hAnsi="Times New Roman"/>
          <w:b/>
          <w:bCs/>
          <w:sz w:val="24"/>
          <w:szCs w:val="24"/>
          <w:lang w:eastAsia="es-ES"/>
        </w:rPr>
        <w:t>rúbricas</w:t>
      </w:r>
      <w:r>
        <w:rPr>
          <w:rFonts w:eastAsia="Times New Roman" w:cs="Times New Roman" w:ascii="Times New Roman" w:hAnsi="Times New Roman"/>
          <w:sz w:val="24"/>
          <w:szCs w:val="24"/>
          <w:lang w:eastAsia="es-ES"/>
        </w:rPr>
        <w:t>:</w:t>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GRUPOS COOPERATIVOS E INTERACTIVOS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bl>
      <w:tblPr>
        <w:tblW w:w="9495" w:type="dxa"/>
        <w:jc w:val="left"/>
        <w:tblInd w:w="0" w:type="dxa"/>
        <w:tblCellMar>
          <w:top w:w="105" w:type="dxa"/>
          <w:left w:w="105" w:type="dxa"/>
          <w:bottom w:w="105" w:type="dxa"/>
          <w:right w:w="105" w:type="dxa"/>
        </w:tblCellMar>
        <w:tblLook w:val="04a0" w:noVBand="1" w:noHBand="0" w:lastColumn="0" w:firstColumn="1" w:lastRow="0" w:firstRow="1"/>
      </w:tblPr>
      <w:tblGrid>
        <w:gridCol w:w="1840"/>
        <w:gridCol w:w="2015"/>
        <w:gridCol w:w="1870"/>
        <w:gridCol w:w="1928"/>
        <w:gridCol w:w="1842"/>
      </w:tblGrid>
      <w:tr>
        <w:trPr/>
        <w:tc>
          <w:tcPr>
            <w:tcW w:w="1840"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CRITERIOS</w:t>
            </w:r>
          </w:p>
        </w:tc>
        <w:tc>
          <w:tcPr>
            <w:tcW w:w="2015"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AVANZADO</w:t>
            </w:r>
          </w:p>
        </w:tc>
        <w:tc>
          <w:tcPr>
            <w:tcW w:w="1870"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 ACEPTABLE</w:t>
            </w:r>
          </w:p>
        </w:tc>
        <w:tc>
          <w:tcPr>
            <w:tcW w:w="1928"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 MEJORABLE</w:t>
            </w:r>
          </w:p>
        </w:tc>
        <w:tc>
          <w:tcPr>
            <w:tcW w:w="1842"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INICIADO</w:t>
            </w:r>
          </w:p>
        </w:tc>
      </w:tr>
      <w:tr>
        <w:trPr/>
        <w:tc>
          <w:tcPr>
            <w:tcW w:w="1840"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Relación entre los miembros</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2015"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Trabajan satisfactoriamente en equipo, resaltando valores como solidaridad, respeto, ayuda mutua, paciencia, saber escuchar, etc.</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70"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La interacción es buena pero no todos los valores del trabajo en equipo se cumplen.</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Por ejemplo, se respetan mutuamente pero algunos no tienen paciencia para escucharse.</w:t>
            </w:r>
          </w:p>
        </w:tc>
        <w:tc>
          <w:tcPr>
            <w:tcW w:w="192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La interacción no es del todo buena porque les cuesta ponerse de acuerdo.</w:t>
            </w:r>
          </w:p>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Algunos valores no se trabajan.</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42"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Los miembros del grupo no trabajan o sólo lo hacen dos de ellos. No hay respeto mutuo, algunos no hacen nada o no hay interés por la actividad.</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r>
      <w:tr>
        <w:trPr/>
        <w:tc>
          <w:tcPr>
            <w:tcW w:w="1840"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Reparto de tareas</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2015"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Todos los miembros del equipo han cumplido su papel en el grupo.</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70"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Alguno o algunos miembros del grupo no han asumido su tarea pero los demás se lo han hecho ver y han rectificado.</w:t>
            </w:r>
          </w:p>
        </w:tc>
        <w:tc>
          <w:tcPr>
            <w:tcW w:w="192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No se ha entendido bien el reparto de tareas y ponerse de acuerdo ha entorpecido conseguir la tarea.</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42"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Ninguno o casi ninguno cumple su papel.</w:t>
            </w:r>
          </w:p>
        </w:tc>
      </w:tr>
      <w:tr>
        <w:trPr/>
        <w:tc>
          <w:tcPr>
            <w:tcW w:w="1840"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Integración de alumnos con Necesidades especiales</w:t>
            </w:r>
          </w:p>
        </w:tc>
        <w:tc>
          <w:tcPr>
            <w:tcW w:w="2015"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Hay una inclusión total y natural de los alumnos con NNEE.</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70"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Los alumnos con NNEE no siempre cumplen su rol en el grupo, o bien a veces se quedan atrás.</w:t>
            </w:r>
          </w:p>
        </w:tc>
        <w:tc>
          <w:tcPr>
            <w:tcW w:w="192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Los alumnos con NNEE no consiguen seguir el ritmo en ningún momento aunque los demás intentan que lo haga.</w:t>
            </w:r>
          </w:p>
        </w:tc>
        <w:tc>
          <w:tcPr>
            <w:tcW w:w="1842"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Los alumnos con NNEE no participan en el grupo cooperativo.</w:t>
            </w:r>
          </w:p>
        </w:tc>
      </w:tr>
      <w:tr>
        <w:trPr/>
        <w:tc>
          <w:tcPr>
            <w:tcW w:w="1840"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Resultado de la tarea</w:t>
            </w:r>
          </w:p>
        </w:tc>
        <w:tc>
          <w:tcPr>
            <w:tcW w:w="2015"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La tarea está resuelta correctamente, bien presentada, argumentada y defendida.</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70"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La tarea está bien pero le faltan matices: no está bien estructurada, presentada, le falta algún matiz, etc.</w:t>
            </w:r>
          </w:p>
        </w:tc>
        <w:tc>
          <w:tcPr>
            <w:tcW w:w="192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La tarea está aceptable pero tiene fallos y lagunas que podrían haberse evitado.</w:t>
            </w:r>
          </w:p>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r>
          </w:p>
        </w:tc>
        <w:tc>
          <w:tcPr>
            <w:tcW w:w="1842"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szCs w:val="24"/>
                <w:lang w:eastAsia="es-ES"/>
              </w:rPr>
              <w:t>No se ha conseguido hacer la tarea, empezarla o terminarla, o simplemente está hecha rápidamente para terminar pronto y es mediocre o está mal.</w:t>
            </w:r>
          </w:p>
        </w:tc>
      </w:tr>
    </w:tbl>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EXPOSICIONES ORALES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bl>
      <w:tblPr>
        <w:tblW w:w="9570" w:type="dxa"/>
        <w:jc w:val="left"/>
        <w:tblInd w:w="0" w:type="dxa"/>
        <w:tblCellMar>
          <w:top w:w="105" w:type="dxa"/>
          <w:left w:w="105" w:type="dxa"/>
          <w:bottom w:w="105" w:type="dxa"/>
          <w:right w:w="105" w:type="dxa"/>
        </w:tblCellMar>
        <w:tblLook w:val="04a0" w:noVBand="1" w:noHBand="0" w:lastColumn="0" w:firstColumn="1" w:lastRow="0" w:firstRow="1"/>
      </w:tblPr>
      <w:tblGrid>
        <w:gridCol w:w="1516"/>
        <w:gridCol w:w="1529"/>
        <w:gridCol w:w="2393"/>
        <w:gridCol w:w="2444"/>
        <w:gridCol w:w="1688"/>
      </w:tblGrid>
      <w:tr>
        <w:trPr/>
        <w:tc>
          <w:tcPr>
            <w:tcW w:w="1516"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CRITERIOS</w:t>
            </w:r>
          </w:p>
        </w:tc>
        <w:tc>
          <w:tcPr>
            <w:tcW w:w="1529"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AVANZADO</w:t>
            </w:r>
          </w:p>
        </w:tc>
        <w:tc>
          <w:tcPr>
            <w:tcW w:w="2393"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MEDIOACEPTABLE</w:t>
            </w:r>
          </w:p>
        </w:tc>
        <w:tc>
          <w:tcPr>
            <w:tcW w:w="2444"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MEDIOMEJORABLE</w:t>
            </w:r>
          </w:p>
        </w:tc>
        <w:tc>
          <w:tcPr>
            <w:tcW w:w="1688"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INICIADO</w:t>
            </w:r>
          </w:p>
        </w:tc>
      </w:tr>
      <w:tr>
        <w:trPr/>
        <w:tc>
          <w:tcPr>
            <w:tcW w:w="1516"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Contenido</w:t>
            </w:r>
          </w:p>
        </w:tc>
        <w:tc>
          <w:tcPr>
            <w:tcW w:w="152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Presenta el tema de forma atractiva, seleccionando las ideas y poniendo ejemplos. Domina el tema que expone.</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Mantiene el interés hasta el final.</w:t>
            </w:r>
          </w:p>
        </w:tc>
        <w:tc>
          <w:tcPr>
            <w:tcW w:w="239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Su presentación de la ideas es correcta pero a veces no es atractiva ni selecciona las ideas principales.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4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Hace una exposición de ideas muy superficial. No es atractivo y tiene poco dominio del tema. Provoca cansancio en el auditorio.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68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contenido no está bien seleccionado ni trabajado por lo que no es capaz de exponerlo. Pierde inmediatamente el interés del auditorio.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516"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Lenguaje</w:t>
            </w:r>
          </w:p>
        </w:tc>
        <w:tc>
          <w:tcPr>
            <w:tcW w:w="152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Utiliza un lenguaje correcto y expresiones maduras, así como un vocabulario amplio.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39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Utiliza un vocabulario correcto pero no técnico y un lenguaje menos maduro.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4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Lenguaje correcto aprendido de memoria, poco natural y sin soltura. Vocabulario limitado. A veces duda.</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68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Lenguaje infantil, repite palabras resaltando las pocas que se ha aprendido bien. Se equivoca y rectifica constantemente.</w:t>
            </w:r>
          </w:p>
        </w:tc>
      </w:tr>
      <w:tr>
        <w:trPr/>
        <w:tc>
          <w:tcPr>
            <w:tcW w:w="1516"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Expresiones verbal</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52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La velocidad y el volumen son adecuados.</w:t>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La articulación y entonación correctos.</w:t>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Mira a todos los interlocutores.</w:t>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Sus gestos y postura son relajados y naturales.</w:t>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No se percibe nerviosismo.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39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Cumple con la mayoría de los requisitos anteriores, pero tiene que mejorar algunos.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4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Tiene que mejorar bastante la mayoría de los requisitos anteriores, pero va por buen camino.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68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Su expresión verbal es muy deficiente: puede hablar muy rápido o muy despacio, mostrar nerviosismo, mirar al suelo, tener una postura defensiva como cruzar los brazos, etc.</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516"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Uso de soportes audiovisuales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52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soporte elaborado es correcto, acorde con la exposición oral, bien seleccionado y un buen apoyo para la conferencia.</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39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soporte audiovisual es correcto pero es superficial o tiene algunas deficiencias como imágenes sin pie de foto o faltas de ortografía en la presentación.</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4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nota que ha elaborado un soporte deprisa y sin profundizar ni sincronizar con la exposición oral.</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68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No utiliza soporte audiovisual o el que presenta es muy deficiente.</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516"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Uso del tiempo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52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ajusta al tiempo previsto.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393"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ajusta al tiempo previsto pero se precipita.</w:t>
            </w:r>
          </w:p>
        </w:tc>
        <w:tc>
          <w:tcPr>
            <w:tcW w:w="24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Por poco se excede del tiempo previsto o no llega.</w:t>
            </w:r>
          </w:p>
        </w:tc>
        <w:tc>
          <w:tcPr>
            <w:tcW w:w="1688"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No desarrolla la conferencia en el tiempo previsto.</w:t>
            </w:r>
          </w:p>
        </w:tc>
      </w:tr>
    </w:tbl>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TRABAJOS ESCRITOS Y/O DE INVESTIGACIÓN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bl>
      <w:tblPr>
        <w:tblW w:w="9495" w:type="dxa"/>
        <w:jc w:val="left"/>
        <w:tblInd w:w="0" w:type="dxa"/>
        <w:tblCellMar>
          <w:top w:w="105" w:type="dxa"/>
          <w:left w:w="105" w:type="dxa"/>
          <w:bottom w:w="105" w:type="dxa"/>
          <w:right w:w="105" w:type="dxa"/>
        </w:tblCellMar>
        <w:tblLook w:val="04a0" w:noVBand="1" w:noHBand="0" w:lastColumn="0" w:firstColumn="1" w:lastRow="0" w:firstRow="1"/>
      </w:tblPr>
      <w:tblGrid>
        <w:gridCol w:w="1855"/>
        <w:gridCol w:w="1871"/>
        <w:gridCol w:w="1966"/>
        <w:gridCol w:w="1944"/>
        <w:gridCol w:w="1859"/>
      </w:tblGrid>
      <w:tr>
        <w:trPr/>
        <w:tc>
          <w:tcPr>
            <w:tcW w:w="1855"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CRITERIOS</w:t>
            </w:r>
          </w:p>
        </w:tc>
        <w:tc>
          <w:tcPr>
            <w:tcW w:w="1871"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AVANZADO</w:t>
            </w:r>
          </w:p>
        </w:tc>
        <w:tc>
          <w:tcPr>
            <w:tcW w:w="1966"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 ACEPTABLE</w:t>
            </w:r>
          </w:p>
        </w:tc>
        <w:tc>
          <w:tcPr>
            <w:tcW w:w="1944"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MEDIO MEJORABLE</w:t>
            </w:r>
          </w:p>
        </w:tc>
        <w:tc>
          <w:tcPr>
            <w:tcW w:w="1859" w:type="dxa"/>
            <w:tcBorders>
              <w:top w:val="outset" w:sz="6" w:space="0" w:color="000000"/>
              <w:left w:val="outset" w:sz="6" w:space="0" w:color="000000"/>
              <w:bottom w:val="outset" w:sz="6" w:space="0" w:color="000000"/>
              <w:right w:val="outset" w:sz="6" w:space="0" w:color="000000"/>
            </w:tcBorders>
            <w:shd w:color="auto" w:fill="000000"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INICIADO</w:t>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Contenido</w:t>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ajusta a lo que se le pide. Profundiza en el tema y busca información de forma variada y reflexiva. Hay una diferenciación entre ideas principales y secundarias. Saca sus propias conclusiones.</w:t>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contenido es correcto pero no profundiza. Ha buscado información y está bien seleccionada pero tampoco en profundidad.</w:t>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diferenciación entre ideas principales y secundarias es correcta. Le faltan ideas principales en el contenido y la información que busca no es del todo aceptable.</w:t>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El trabajo presentado no responde a lo que se le pide.</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Estructura</w:t>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Están claramente diferenciados introducción, desarrollo y conclusión. Las secciones están bien diferenciadas y se encuentran fácilmente. No sobra ni falta texto.</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estructura es correcta pero hay alguna deficiencia en la división de los contenidos o algunas secciones no están del todo claras.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Hay una diferenciación entre introducción, desarrollo y conclusión pero no están del todo perfilados. Las secciones no están bien diferenciadas o hay que buscar la información.</w:t>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No hay orden en el texto ni interés por facilitar la lectura. No hay lógica en la presentación de ideas.</w:t>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Lenguaje</w:t>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utiliza un vocabulario correcto, preciso y adecuado. Utiliza tecnicismo con naturalidad.</w:t>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Emplea un lenguaje con corrección sintáctica y gramatical, pero le falta madurez.</w:t>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Existen algunos errores sintácticos y gramaticales, pero incluye vocabulario relacionado con el tema.</w:t>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Aparecen errores sintácticos y gramaticales sin revisar.</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Presentación</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Hay limpieza, orden y sencillez en la presentación, tanto si es a mano o por ordenador. La lectura es fácil y fluida. Se respetan los márgenes y se utilizan recursos como notas al pie de página, numeración de páginas, índices, etc.</w:t>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presentación es buena y también utiliza recursos adecuadamente, pero la apariencia visual no es tan limpia ni consigue dirigir la atención al lector en los puntos clave.</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Utiliza los recursos de edición de textos de forma arbitraria, sin orden, por ejemplo, sin las mismas cabeceras para títulos.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presentación es mala y ruidosa, sin orden y sin respetar lo básico: márgenes, sangrías, etc.</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Uso de diagramas e imágenes</w:t>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ordenados, precisos y contribuyen a la comprensión del tema.</w:t>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precisos y contribuyen a la comprensión del tema.</w:t>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pertinentes y a veces contribuyen a la comprensión del tema, aunque otras veces sobran.</w:t>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No son apropiados o no contribuyen a la comprensión del tema.</w:t>
            </w:r>
          </w:p>
        </w:tc>
      </w:tr>
      <w:tr>
        <w:trPr/>
        <w:tc>
          <w:tcPr>
            <w:tcW w:w="1855" w:type="dxa"/>
            <w:tcBorders>
              <w:top w:val="outset" w:sz="6" w:space="0" w:color="000000"/>
              <w:left w:val="outset" w:sz="6" w:space="0" w:color="000000"/>
              <w:bottom w:val="outset" w:sz="6" w:space="0" w:color="000000"/>
              <w:right w:val="outset" w:sz="6" w:space="0" w:color="000000"/>
            </w:tcBorders>
            <w:shd w:color="auto" w:fill="D9D9D9"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Fuentes de información</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871"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variadas y múltiples. La información que se recopila tiene relación con el tema y está actualizada. Las fuentes son fiables. Se citan correctamente.</w:t>
            </w:r>
          </w:p>
        </w:tc>
        <w:tc>
          <w:tcPr>
            <w:tcW w:w="1966"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información que se recopila está actualizada, pero a veces no son relevantes o no tienen relación con el tema.</w:t>
            </w:r>
          </w:p>
        </w:tc>
        <w:tc>
          <w:tcPr>
            <w:tcW w:w="1944"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limitadas o poco variadas. Tienen relación con el tema pero no están al día o no son relevantes.</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Algunas fuentes no son fiables.</w:t>
            </w:r>
          </w:p>
        </w:tc>
        <w:tc>
          <w:tcPr>
            <w:tcW w:w="1859" w:type="dxa"/>
            <w:tcBorders>
              <w:top w:val="outset" w:sz="6" w:space="0" w:color="000000"/>
              <w:left w:val="outset" w:sz="6" w:space="0" w:color="000000"/>
              <w:bottom w:val="outset" w:sz="6" w:space="0" w:color="000000"/>
              <w:right w:val="outset" w:sz="6" w:space="0" w:color="000000"/>
            </w:tcBorders>
            <w:shd w:fill="auto" w:val="clear"/>
            <w:vAlign w:val="center"/>
          </w:tcPr>
          <w:p>
            <w:pPr>
              <w:pStyle w:val="Normal"/>
              <w:suppressAutoHyphens w:val="false"/>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Son variadas y múltiples. No hay fuentes de información o son limitadas. No se citan correctamente.</w:t>
            </w:r>
          </w:p>
          <w:p>
            <w:pPr>
              <w:pStyle w:val="Normal"/>
              <w:suppressAutoHyphens w:val="false"/>
              <w:spacing w:lineRule="auto" w:line="240" w:beforeAutospacing="1" w:after="119"/>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No son fiables.</w:t>
            </w:r>
          </w:p>
        </w:tc>
      </w:tr>
    </w:tbl>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5.2 Criterios de evaluación y estándares de aprendizaje</w:t>
      </w:r>
      <w:r>
        <w:rPr>
          <w:rFonts w:eastAsia="Times New Roman" w:cs="Times New Roman" w:ascii="Times New Roman" w:hAnsi="Times New Roman"/>
          <w:sz w:val="24"/>
          <w:szCs w:val="24"/>
          <w:lang w:eastAsia="es-ES"/>
        </w:rPr>
        <w:t>.</w:t>
      </w:r>
    </w:p>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evaluación será continua, formativa e integradora, según se establece en la</w:t>
      </w:r>
      <w:r>
        <w:rPr>
          <w:rFonts w:eastAsia="Times New Roman" w:cs="Times New Roman" w:ascii="Times New Roman" w:hAnsi="Times New Roman"/>
          <w:b/>
          <w:bCs/>
          <w:sz w:val="24"/>
          <w:szCs w:val="24"/>
          <w:lang w:eastAsia="es-ES"/>
        </w:rPr>
        <w:t xml:space="preserve"> Orden de 14 de Julio por el que se desarrolla el currículo de la ESO en Andalucía.</w:t>
      </w:r>
    </w:p>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Los criterios de evaluación se asocian a los estándares de aprendizaje y ambos han de vincularse a su vez con las competencias correspondientes. En la siguiente tabla se relacionan los tres elementos: </w:t>
      </w:r>
    </w:p>
    <w:tbl>
      <w:tblPr>
        <w:tblW w:w="9149" w:type="dxa"/>
        <w:jc w:val="left"/>
        <w:tblInd w:w="-164" w:type="dxa"/>
        <w:tblCellMar>
          <w:top w:w="105" w:type="dxa"/>
          <w:left w:w="105" w:type="dxa"/>
          <w:bottom w:w="105" w:type="dxa"/>
          <w:right w:w="105" w:type="dxa"/>
        </w:tblCellMar>
        <w:tblLook w:val="04a0" w:noVBand="1" w:noHBand="0" w:lastColumn="0" w:firstColumn="1" w:lastRow="0" w:firstRow="1"/>
      </w:tblPr>
      <w:tblGrid>
        <w:gridCol w:w="3379"/>
        <w:gridCol w:w="3690"/>
        <w:gridCol w:w="2080"/>
      </w:tblGrid>
      <w:tr>
        <w:trPr/>
        <w:tc>
          <w:tcPr>
            <w:tcW w:w="3379"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CRITERIOS DE EVALUACIÓN</w:t>
            </w:r>
          </w:p>
        </w:tc>
        <w:tc>
          <w:tcPr>
            <w:tcW w:w="369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ESTÁNDARES DE APRENDIZAJE</w:t>
            </w:r>
          </w:p>
        </w:tc>
        <w:tc>
          <w:tcPr>
            <w:tcW w:w="208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119"/>
              <w:jc w:val="center"/>
              <w:rPr>
                <w:rFonts w:ascii="Times New Roman" w:hAnsi="Times New Roman" w:eastAsia="Times New Roman" w:cs="Times New Roman"/>
                <w:szCs w:val="24"/>
                <w:lang w:eastAsia="es-ES"/>
              </w:rPr>
            </w:pPr>
            <w:r>
              <w:rPr>
                <w:rFonts w:eastAsia="Times New Roman" w:cs="Times New Roman" w:ascii="Times New Roman" w:hAnsi="Times New Roman"/>
                <w:b/>
                <w:bCs/>
                <w:szCs w:val="24"/>
                <w:lang w:eastAsia="es-ES"/>
              </w:rPr>
              <w:t>COMPETENCIAS</w:t>
            </w:r>
          </w:p>
        </w:tc>
      </w:tr>
      <w:tr>
        <w:trPr/>
        <w:tc>
          <w:tcPr>
            <w:tcW w:w="3379"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b/>
                <w:b/>
                <w:sz w:val="24"/>
                <w:szCs w:val="24"/>
                <w:lang w:eastAsia="es-ES"/>
              </w:rPr>
            </w:pPr>
            <w:r>
              <w:rPr>
                <w:rFonts w:eastAsia="Times New Roman" w:cs="Times New Roman" w:ascii="Times New Roman" w:hAnsi="Times New Roman"/>
                <w:b/>
                <w:sz w:val="20"/>
                <w:szCs w:val="20"/>
                <w:lang w:eastAsia="es-ES"/>
              </w:rPr>
              <w:t>Bloque 1</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Conocer la tipología de los bienes patrimoniales y valorarlos como legado cultural de sociedades pretéritas y aportación de Granada a la cultura universal.</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2. Entender el patrimonio en su globalidad, como exponente de la actividad creativa del hombre y valorarlo como documentos de una época y cultura, desde sus aspectos interdisciplinares con otras materias.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3. Valorar y disfrutar el patrimonio artístico, contribuyendo a su conservación y rechazando comportamientos o actitudes que lo deterioren</w:t>
            </w:r>
            <w:r>
              <w:rPr>
                <w:rFonts w:eastAsia="Times New Roman" w:cs="Times New Roman" w:ascii="Times New Roman" w:hAnsi="Times New Roman"/>
                <w:b/>
                <w:bCs/>
                <w:color w:val="000000"/>
                <w:sz w:val="20"/>
                <w:szCs w:val="20"/>
                <w:lang w:eastAsia="es-ES"/>
              </w:rPr>
              <w:t>.</w:t>
            </w:r>
          </w:p>
        </w:tc>
        <w:tc>
          <w:tcPr>
            <w:tcW w:w="369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1.Distingue los distintos tipos de patrimonio y de bienes patrimoniales, analizando y explicando algunos de los ejemplos más significativos.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08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CSC, CCL,</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CEC</w:t>
            </w:r>
          </w:p>
        </w:tc>
      </w:tr>
      <w:tr>
        <w:trPr/>
        <w:tc>
          <w:tcPr>
            <w:tcW w:w="3379"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b/>
                <w:b/>
                <w:sz w:val="24"/>
                <w:szCs w:val="24"/>
                <w:lang w:eastAsia="es-ES"/>
              </w:rPr>
            </w:pPr>
            <w:r>
              <w:rPr>
                <w:rFonts w:eastAsia="Times New Roman" w:cs="Times New Roman" w:ascii="Times New Roman" w:hAnsi="Times New Roman"/>
                <w:b/>
                <w:sz w:val="20"/>
                <w:szCs w:val="20"/>
                <w:lang w:eastAsia="es-ES"/>
              </w:rPr>
              <w:t>Bloque 2.</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1.Analizar los grandes conjuntos monumentales y las principales manifestaciones artísticas de Granada en la Edad Media y Edad Moderna (Renacimiento), identificando las características más destacadas que permiten su clasificación en un determinado estilo artístico.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2. Valorar la diversidad de corrientes o modelos estéticos que pueden desarrollarse en una misma época.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3. Situar en el espacio y en el tiempo las principales manifestaciones artísticas de Granada y relacionarla con el contexto en el que se desarrollan.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4. Tomar decisiones de desarrollo del trabajo individual, grupal o colaborativo para conseguir producciones</w:t>
            </w:r>
            <w:r>
              <w:rPr>
                <w:rFonts w:eastAsia="Times New Roman" w:cs="Times New Roman" w:ascii="Times New Roman" w:hAnsi="Times New Roman"/>
                <w:sz w:val="24"/>
                <w:szCs w:val="24"/>
                <w:lang w:eastAsia="es-ES"/>
              </w:rPr>
              <w:t xml:space="preserve"> </w:t>
            </w:r>
            <w:r>
              <w:rPr>
                <w:rFonts w:eastAsia="Times New Roman" w:cs="Times New Roman" w:ascii="Times New Roman" w:hAnsi="Times New Roman"/>
                <w:color w:val="000000"/>
                <w:sz w:val="20"/>
                <w:szCs w:val="20"/>
                <w:lang w:eastAsia="es-ES"/>
              </w:rPr>
              <w:t>de calidad.</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5. Utilizar la terminología específica del arte y del estudio del patrimonio en las exposiciones orales y</w:t>
            </w:r>
            <w:r>
              <w:rPr>
                <w:rFonts w:eastAsia="Times New Roman" w:cs="Times New Roman" w:ascii="Times New Roman" w:hAnsi="Times New Roman"/>
                <w:sz w:val="24"/>
                <w:szCs w:val="24"/>
                <w:lang w:eastAsia="es-ES"/>
              </w:rPr>
              <w:t xml:space="preserve"> </w:t>
            </w:r>
            <w:r>
              <w:rPr>
                <w:rFonts w:eastAsia="Times New Roman" w:cs="Times New Roman" w:ascii="Times New Roman" w:hAnsi="Times New Roman"/>
                <w:color w:val="000000"/>
                <w:sz w:val="20"/>
                <w:szCs w:val="20"/>
                <w:lang w:eastAsia="es-ES"/>
              </w:rPr>
              <w:t>escritas.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6. Realizar actividades de explicación y difusión del patrimonio.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7. Conocer el lenguaje artístico de cada una de las artes visuales y adquirir una terminología específica.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8. Desarrollar el gusto personal, la capacidad de goce estético y sentido crítico, y expresar sentimientos propios ante las obras de arte.</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9. Elaborar materiales orientados a la transmisión de los conceptos y valores patrimoniales.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10. Integrar las TIC en la elaboración de trabajos y exposiciones.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369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 Comprende y valora la riqueza del Patrimonio Artístico de Granada y su evolución a lo largo de la Historia.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2. Entiende el Patrimonio de Granada en su globalidad como exponente de la actividad creativa del hombre y lo valora como documentos de una época y cultura, desde sus aspectos interdisciplinares con otras materias.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3. Reconoce y diferencia las manifestaciones artísticas más destacadas de nuestro Patrimonio (Edad Media y Moderna), situándolas en su tiempo y espacio.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4.Valora y disfruta el patrimonio artístico, contribuyendo a su conservación y rechazando comportamientos o actitudes que lo deterioren.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5. Conoce y aprecia el patrimonio como fundamento de nuestra memoria colectiva, tradiciones y proyecto social de futuro.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6. Realiza actividades de documentación e indagación con análisis e interpretación de información diversa sobre distintos aspectos de nuestros patrimonio.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7. Conoce el lenguaje artístico de cada una de las artes visuales y adquiere una terminología específica.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8. Es capaz de comentar una obra artística y expresa sentimientos propios ante las obras de arte.</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9. Elabora trabajos de investigación sobre los conjuntos monumentales más importantes.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10. Integra las TIC en la elaboración de trabajos y exposiciones.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08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rPr>
                <w:rFonts w:ascii="Times New Roman" w:hAnsi="Times New Roman" w:eastAsia="Times New Roman" w:cs="Times New Roman"/>
                <w:sz w:val="24"/>
                <w:szCs w:val="24"/>
                <w:lang w:val="en-US" w:eastAsia="es-ES"/>
              </w:rPr>
            </w:pPr>
            <w:r>
              <w:rPr>
                <w:rFonts w:eastAsia="Times New Roman" w:cs="Times New Roman" w:ascii="Times New Roman" w:hAnsi="Times New Roman"/>
                <w:sz w:val="20"/>
                <w:szCs w:val="20"/>
                <w:lang w:val="en-US" w:eastAsia="es-ES"/>
              </w:rPr>
              <w:t>CSC, CEC CCL, CAA</w:t>
            </w:r>
          </w:p>
          <w:p>
            <w:pPr>
              <w:pStyle w:val="Normal"/>
              <w:suppressAutoHyphens w:val="false"/>
              <w:spacing w:lineRule="auto" w:line="240" w:beforeAutospacing="1" w:after="0"/>
              <w:rPr>
                <w:rFonts w:ascii="Times New Roman" w:hAnsi="Times New Roman" w:eastAsia="Times New Roman" w:cs="Times New Roman"/>
                <w:sz w:val="24"/>
                <w:szCs w:val="24"/>
                <w:lang w:val="en-US" w:eastAsia="es-ES"/>
              </w:rPr>
            </w:pPr>
            <w:r>
              <w:rPr>
                <w:rFonts w:eastAsia="Times New Roman" w:cs="Times New Roman" w:ascii="Times New Roman" w:hAnsi="Times New Roman"/>
                <w:sz w:val="20"/>
                <w:szCs w:val="20"/>
                <w:lang w:val="en-US" w:eastAsia="es-ES"/>
              </w:rPr>
              <w:t>SIEP, CD</w:t>
            </w:r>
          </w:p>
          <w:p>
            <w:pPr>
              <w:pStyle w:val="Normal"/>
              <w:suppressAutoHyphens w:val="false"/>
              <w:spacing w:lineRule="auto" w:line="240" w:beforeAutospacing="1" w:after="0"/>
              <w:rPr>
                <w:rFonts w:ascii="Times New Roman" w:hAnsi="Times New Roman" w:eastAsia="Times New Roman" w:cs="Times New Roman"/>
                <w:sz w:val="24"/>
                <w:szCs w:val="24"/>
                <w:lang w:val="en-US" w:eastAsia="es-ES"/>
              </w:rPr>
            </w:pPr>
            <w:r>
              <w:rPr>
                <w:rFonts w:eastAsia="Times New Roman" w:cs="Times New Roman" w:ascii="Times New Roman" w:hAnsi="Times New Roman"/>
                <w:sz w:val="24"/>
                <w:szCs w:val="24"/>
                <w:lang w:val="en-US" w:eastAsia="es-ES"/>
              </w:rPr>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r>
      <w:tr>
        <w:trPr/>
        <w:tc>
          <w:tcPr>
            <w:tcW w:w="3379"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Bloque 3</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 Comprender y valorar la riqueza del Patrimonio Artístico de Granada en la Edad Moderna (Barroco) y Contemporánea, y su evolución a lo largo de la Historia.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2. Entender el Patrimonio de Granada en su globalidad como exponente de la actividad creativa del hombre y valorarlo como documentos de una época y cultura, desde sus aspectos interdisciplinares con otras materias.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3. Reconocer y diferenciar las manifestaciones artísticas más destacadas de nuestro Patrimonio, situándolas en su tiempo y espacio.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4.Valorar y disfrutar el patrimonio artístico, contribuyendo a su conservación y rechazando comportamientos o actitudes que lo deterioren.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5. Conocer y apreciar el patrimonio como fundamento de nuestra memoria colectiva, tradiciones y proyecto social de futuro.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6. Realizar actividades de documentación e indagación con análisis e interpretación de información diversa sobre distintos aspectos de nuestros patrimonio.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7. Conocer el lenguaje artístico de cada una de las artes visuales y adquiere una terminología específica.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8. Desarrollar el gusto personal, la capacidad de goce estético y sentido crítico, y expresa sentimientos propios ante las obras de arte.</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9. Elaborar materiales orientados a la transmisión de los conceptos y valores patrimoniales.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10. Integrar las TIC en la elaboración de trabajos y exposiciones</w:t>
            </w:r>
          </w:p>
        </w:tc>
        <w:tc>
          <w:tcPr>
            <w:tcW w:w="369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 Comprende y valora la riqueza del Patrimonio Artístico de Granada y su evolución a lo largo de la Historia.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2. Entiende el Patrimonio de Granada en su globalidad como exponente de la actividad creativa del hombre y lo valora como documentos de una época y cultura, desde sus aspectos interdisciplinares con otras materias.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3. Reconoce y diferencia las manifestaciones artísticas más destacadas de nuestro Patrimonio (Edad Moderna y Contemporánea), situándolas en su tiempo y espacio.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4.Valora y disfruta el patrimonio artístico, contribuyendo a su conservación y rechazando comportamientos o actitudes que lo deterioren.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5. Conoce y aprecia el patrimonio como fundamento de nuestra memoria colectiva, tradiciones y proyecto social de futuro.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6. Realiza actividades de documentación e indagación con análisis e interpretación de información diversa sobre distintos aspectos de nuestros patrimonio.</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7. Conoce el lenguaje artístico de cada una de las artes visuales y adquiere una terminología específica.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8. Es capaz de comentar una obra artística y expresa sentimientos propios ante las obras de arte.</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9. Elabora trabajos de investigación sobre los conjuntos monumentales más importantes.</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0"/>
                <w:szCs w:val="20"/>
                <w:lang w:eastAsia="es-ES"/>
              </w:rPr>
              <w:t>10. Integra las TIC en la elaboración de trabajos y exposiciones.</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2080" w:type="dxa"/>
            <w:tcBorders>
              <w:top w:val="outset" w:sz="6" w:space="0" w:color="000000"/>
              <w:left w:val="outset" w:sz="6" w:space="0" w:color="000000"/>
              <w:bottom w:val="outset" w:sz="6" w:space="0" w:color="000000"/>
              <w:right w:val="outset" w:sz="6" w:space="0" w:color="000000"/>
            </w:tcBorders>
            <w:shd w:fill="auto" w:val="clear"/>
          </w:tcPr>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CSC, CEC, CCL</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CAA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0"/>
                <w:szCs w:val="20"/>
                <w:lang w:eastAsia="es-ES"/>
              </w:rPr>
              <w:t>SIEP, CD</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rPr>
                <w:rFonts w:ascii="Times New Roman" w:hAnsi="Times New Roman" w:eastAsia="Times New Roman" w:cs="Times New Roman"/>
                <w:sz w:val="24"/>
                <w:szCs w:val="24"/>
                <w:lang w:val="en-US" w:eastAsia="es-ES"/>
              </w:rPr>
            </w:pPr>
            <w:r>
              <w:rPr>
                <w:rFonts w:eastAsia="Times New Roman" w:cs="Times New Roman" w:ascii="Times New Roman" w:hAnsi="Times New Roman"/>
                <w:sz w:val="24"/>
                <w:szCs w:val="24"/>
                <w:lang w:val="en-US" w:eastAsia="es-ES"/>
              </w:rPr>
            </w:r>
          </w:p>
          <w:p>
            <w:pPr>
              <w:pStyle w:val="Normal"/>
              <w:suppressAutoHyphens w:val="false"/>
              <w:spacing w:lineRule="auto" w:line="240" w:beforeAutospacing="1" w:after="119"/>
              <w:rPr>
                <w:rFonts w:ascii="Times New Roman" w:hAnsi="Times New Roman" w:eastAsia="Times New Roman" w:cs="Times New Roman"/>
                <w:sz w:val="24"/>
                <w:szCs w:val="24"/>
                <w:lang w:val="en-US" w:eastAsia="es-ES"/>
              </w:rPr>
            </w:pPr>
            <w:r>
              <w:rPr>
                <w:rFonts w:eastAsia="Times New Roman" w:cs="Times New Roman" w:ascii="Times New Roman" w:hAnsi="Times New Roman"/>
                <w:sz w:val="24"/>
                <w:szCs w:val="24"/>
                <w:lang w:val="en-US" w:eastAsia="es-ES"/>
              </w:rPr>
            </w:r>
          </w:p>
        </w:tc>
      </w:tr>
    </w:tbl>
    <w:p>
      <w:pPr>
        <w:pStyle w:val="Normal"/>
        <w:suppressAutoHyphens w:val="false"/>
        <w:spacing w:lineRule="auto" w:line="240" w:beforeAutospacing="1" w:after="24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6. MEDIDAS DE ATENCIÓN A LA</w:t>
      </w:r>
      <w:r>
        <w:rPr>
          <w:rFonts w:eastAsia="Times New Roman" w:cs="Times New Roman" w:ascii="Times New Roman" w:hAnsi="Times New Roman"/>
          <w:b/>
          <w:bCs/>
          <w:sz w:val="40"/>
          <w:szCs w:val="40"/>
          <w:lang w:eastAsia="es-ES"/>
        </w:rPr>
        <w:t xml:space="preserve"> </w:t>
      </w:r>
      <w:r>
        <w:rPr>
          <w:rFonts w:eastAsia="Times New Roman" w:cs="Times New Roman" w:ascii="Times New Roman" w:hAnsi="Times New Roman"/>
          <w:b/>
          <w:bCs/>
          <w:sz w:val="27"/>
          <w:szCs w:val="27"/>
          <w:lang w:eastAsia="es-ES"/>
        </w:rPr>
        <w:t>DIVERSIDAD</w:t>
      </w:r>
    </w:p>
    <w:p>
      <w:pPr>
        <w:pStyle w:val="Normal"/>
        <w:suppressAutoHyphens w:val="false"/>
        <w:spacing w:lineRule="auto" w:line="288" w:beforeAutospacing="1" w:after="0"/>
        <w:ind w:right="-198" w:hanging="0"/>
        <w:jc w:val="both"/>
        <w:rPr>
          <w:rFonts w:ascii="Times New Roman" w:hAnsi="Times New Roman" w:eastAsia="Times New Roman" w:cs="Times New Roman"/>
          <w:sz w:val="24"/>
          <w:szCs w:val="24"/>
          <w:lang w:eastAsia="es-ES"/>
        </w:rPr>
      </w:pPr>
      <w:r>
        <w:rPr>
          <w:rFonts w:eastAsia="Times New Roman" w:cs="Times New Roman" w:ascii="Times New Roman" w:hAnsi="Times New Roman"/>
          <w:b/>
          <w:bCs/>
          <w:sz w:val="24"/>
          <w:szCs w:val="24"/>
          <w:lang w:eastAsia="es-ES"/>
        </w:rPr>
        <w:t>El Decreto 111/2016 de 14 de junio</w:t>
      </w:r>
      <w:r>
        <w:rPr>
          <w:rFonts w:eastAsia="Times New Roman" w:cs="Times New Roman" w:ascii="Times New Roman" w:hAnsi="Times New Roman"/>
          <w:sz w:val="24"/>
          <w:szCs w:val="24"/>
          <w:lang w:eastAsia="es-ES"/>
        </w:rPr>
        <w:t xml:space="preserve"> por el que se regula la ordenación y el currículo de la ESO en Andalucía, recoge en su capítulo VI las medidas de atención a la diversidad y expone que para la ESO hay que establecer un conjunto de actuaciones para dar respuesta a las diferentes capacidades, ritmos y estilos de aprendizaje, motivaciones, intereses, situaciones socioeconómicas y culturales, lingüísticas y de salud del alumnado, con la finalidad de facilitar la adquisición de las competencias clave y el logro de los objetivos de la etapa y no podrán, en ningún caso, suponer una discriminación que le impida alcanzar la titulación de Educación Secundaria Obligatoria.</w:t>
      </w:r>
    </w:p>
    <w:p>
      <w:pPr>
        <w:pStyle w:val="Normal"/>
        <w:suppressAutoHyphens w:val="false"/>
        <w:spacing w:lineRule="auto" w:line="288" w:beforeAutospacing="1" w:after="0"/>
        <w:ind w:right="-198" w:hanging="0"/>
        <w:jc w:val="both"/>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 desarrollará actividades de refuerzo para alumnos que tengan ritmo de aprendizaje más lento o presenten alguna dificultad en algún apartado de las Unidades Didácticas:</w:t>
      </w:r>
    </w:p>
    <w:p>
      <w:pPr>
        <w:pStyle w:val="Normal"/>
        <w:numPr>
          <w:ilvl w:val="0"/>
          <w:numId w:val="10"/>
        </w:numPr>
        <w:suppressAutoHyphens w:val="false"/>
        <w:spacing w:lineRule="auto" w:line="288" w:beforeAutospacing="1"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Facilitar esquemas de cada tema. </w:t>
      </w:r>
    </w:p>
    <w:p>
      <w:pPr>
        <w:pStyle w:val="Normal"/>
        <w:numPr>
          <w:ilvl w:val="0"/>
          <w:numId w:val="10"/>
        </w:numPr>
        <w:suppressAutoHyphens w:val="false"/>
        <w:spacing w:lineRule="auto" w:line="288" w:before="0"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Segmentar las tareas de un actividad y poner ejemplos de cómo se resuelven las tareas.</w:t>
      </w:r>
    </w:p>
    <w:p>
      <w:pPr>
        <w:pStyle w:val="Normal"/>
        <w:numPr>
          <w:ilvl w:val="0"/>
          <w:numId w:val="10"/>
        </w:numPr>
        <w:suppressAutoHyphens w:val="false"/>
        <w:spacing w:lineRule="auto" w:line="288" w:before="0"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Actividades de comprensión y síntesis del contenido.</w:t>
      </w:r>
    </w:p>
    <w:p>
      <w:pPr>
        <w:pStyle w:val="Normal"/>
        <w:numPr>
          <w:ilvl w:val="0"/>
          <w:numId w:val="10"/>
        </w:numPr>
        <w:suppressAutoHyphens w:val="false"/>
        <w:spacing w:lineRule="auto" w:line="288" w:before="0"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Simplificación y desglose de los objetivos.</w:t>
      </w:r>
    </w:p>
    <w:p>
      <w:pPr>
        <w:pStyle w:val="Normal"/>
        <w:numPr>
          <w:ilvl w:val="0"/>
          <w:numId w:val="10"/>
        </w:numPr>
        <w:suppressAutoHyphens w:val="false"/>
        <w:spacing w:lineRule="auto" w:line="288" w:before="0"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Preguntas que guíen al alumno en análisis y comentarios de imágenes.</w:t>
      </w:r>
    </w:p>
    <w:p>
      <w:pPr>
        <w:pStyle w:val="Normal"/>
        <w:numPr>
          <w:ilvl w:val="0"/>
          <w:numId w:val="10"/>
        </w:numPr>
        <w:suppressAutoHyphens w:val="false"/>
        <w:spacing w:lineRule="auto" w:line="288" w:before="0" w:after="0"/>
        <w:ind w:left="720" w:right="-198" w:hanging="36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Reducir la cantidad de preguntas en las pruebas escritas.</w:t>
      </w:r>
    </w:p>
    <w:p>
      <w:pPr>
        <w:pStyle w:val="Normal"/>
        <w:suppressAutoHyphens w:val="false"/>
        <w:spacing w:lineRule="auto" w:line="240" w:beforeAutospacing="1" w:after="0"/>
        <w:ind w:left="720" w:hanging="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En los procedimientos de evaluación se realizarán las siguientes adaptaciones metodológicas:</w:t>
      </w:r>
    </w:p>
    <w:p>
      <w:pPr>
        <w:pStyle w:val="Normal"/>
        <w:numPr>
          <w:ilvl w:val="0"/>
          <w:numId w:val="10"/>
        </w:numPr>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La evaluación oral.</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Ampliar el tiempo para la realización de las pruebas escritas.</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Secuenciar las preguntas.</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Segmentar las preguntas de una tarea.</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Subrayar palabras clave.</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Adaptar el vocabulario.</w:t>
      </w:r>
    </w:p>
    <w:p>
      <w:pPr>
        <w:pStyle w:val="Normal"/>
        <w:numPr>
          <w:ilvl w:val="0"/>
          <w:numId w:val="10"/>
        </w:numPr>
        <w:suppressAutoHyphens w:val="false"/>
        <w:spacing w:lineRule="auto" w:line="240" w:before="0"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Incluir pequeños consejos.</w:t>
      </w:r>
    </w:p>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Para aquellos alumnos que presenten alguna ventaja o su ritmo de aprendizaje sea más rápido y mejor, se propondrán actividades de ampliación: </w:t>
      </w:r>
    </w:p>
    <w:p>
      <w:pPr>
        <w:pStyle w:val="Normal"/>
        <w:numPr>
          <w:ilvl w:val="0"/>
          <w:numId w:val="11"/>
        </w:numPr>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Informes breves sobre algunos contenidos de la Unidad Didáctica de interés para completar el aprendizaje. </w:t>
      </w:r>
    </w:p>
    <w:p>
      <w:pPr>
        <w:pStyle w:val="Normal"/>
        <w:numPr>
          <w:ilvl w:val="0"/>
          <w:numId w:val="11"/>
        </w:numPr>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 xml:space="preserve">Trabajos de investigación en profundidad sobre algún tema relacionado con la materia a desarrollar en un mayor período de tiempo. </w:t>
      </w:r>
    </w:p>
    <w:p>
      <w:pPr>
        <w:pStyle w:val="Normal"/>
        <w:suppressAutoHyphens w:val="false"/>
        <w:spacing w:lineRule="auto" w:line="240" w:beforeAutospacing="1" w:after="11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7.PLAN LECTOR</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Las líneas de actuación del departamento de Geografía e Historia para estimular el interés y el hábito de lectura y la mejora de la expresión oral y escrita en 2º de ESO son:</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Para fomentar el hábito lector, todos los días, los alumnos leen en los diez primeros minutos de clase. Cuando terminan de leer un libro, lo anotan en el cuadrante que hemos elaborado con sus nombres, con el fin de que compartan sus lecturas con el resto de la clase a la que recomendarán su libro utilizando una estrella como valor mínimo y cinco estrellas como recomendación máxima. Además deberán de rellenar una ficha de lectura en la que tienen que resumir el argumento, describir un personaje y expresar su opinión. De esta forma se trabaja también la técnica del resumen.</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El resumen de textos expositivos se lleva a cabo utilizando los contenidos de la materia.</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La comprensión lectora se trabaja también con los contenidos ya que además de realizar las actividades que incluyen preguntas literales, se añade una batería de preguntas para desarrollar la capacidad de deducción (preguntas inferenciales) y la actitud crítica (preguntas de opinión).</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Pero sobre todo esta asignatura, los comentarios de imágenes y los trabajos de investigación son la herramienta fundamental para trabajar tanto el resumen como la comprensión. Mediante estos recursos relacionados con el contenido de los temas estudiados, los alumnos aprenden a resumir las ideas principales y a relacionarlas con su contexto histórico, lo cual exige no solo ordenar y sintetizar sus conocimientos sino también aplicarlos correctamente. Con ello, además, se pretende que aprendan a identificar los mensajes explícitos pero también y sobre todo los implícitos. De esta forma se consigue también que sean menos vulnerables a las manipulaciones informativas y que desarrollen una actitud crítica.</w:t>
      </w:r>
    </w:p>
    <w:p>
      <w:pPr>
        <w:pStyle w:val="Normal"/>
        <w:suppressAutoHyphens w:val="false"/>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La realización de trabajos de investigación, que deben de entregarse escritos a mano para evitar que los alumnos copien indiscriminadamente, tiene como objetivo contribuir también a la mejora de la competencia lingüística ya que supone un esfuerzo de selección de la información y de redacción de los contenidos a trabajar que tiene un gran peso en la nota final.</w:t>
      </w:r>
    </w:p>
    <w:p>
      <w:pPr>
        <w:pStyle w:val="Normal"/>
        <w:suppressAutoHyphens w:val="false"/>
        <w:spacing w:lineRule="auto" w:line="240" w:beforeAutospacing="1" w:after="0"/>
        <w:jc w:val="both"/>
        <w:rPr>
          <w:rFonts w:ascii="Times New Roman" w:hAnsi="Times New Roman" w:eastAsia="Times New Roman" w:cs="Times New Roman"/>
          <w:sz w:val="24"/>
          <w:szCs w:val="24"/>
          <w:lang w:eastAsia="es-ES"/>
        </w:rPr>
      </w:pPr>
      <w:r>
        <w:rPr>
          <w:rFonts w:eastAsia="Times New Roman" w:cs="Times New Roman" w:ascii="Times New Roman" w:hAnsi="Times New Roman"/>
          <w:color w:val="000000"/>
          <w:sz w:val="24"/>
          <w:szCs w:val="24"/>
          <w:lang w:eastAsia="es-ES"/>
        </w:rPr>
        <w:t>Por último, la exposición oral de los trabajos realizados completa lo anteriormente descrito.</w:t>
      </w:r>
    </w:p>
    <w:p>
      <w:pPr>
        <w:pStyle w:val="Normal"/>
        <w:suppressAutoHyphens w:val="false"/>
        <w:spacing w:lineRule="auto" w:line="288" w:beforeAutospacing="1" w:after="79"/>
        <w:rPr>
          <w:rFonts w:ascii="Times New Roman" w:hAnsi="Times New Roman" w:eastAsia="Times New Roman" w:cs="Times New Roman"/>
          <w:sz w:val="24"/>
          <w:szCs w:val="24"/>
          <w:lang w:eastAsia="es-ES"/>
        </w:rPr>
      </w:pPr>
      <w:r>
        <w:rPr>
          <w:rFonts w:eastAsia="Times New Roman" w:cs="Times New Roman" w:ascii="Times New Roman" w:hAnsi="Times New Roman"/>
          <w:b/>
          <w:bCs/>
          <w:sz w:val="27"/>
          <w:szCs w:val="27"/>
          <w:lang w:eastAsia="es-ES"/>
        </w:rPr>
        <w:t>8. VISITAS PROGRAMADAS.</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1. Museo arqueológico y museo de la Alhambra.</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2. Cuevas de Piñar.</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3. Villa romana del Salar o Gorafe.</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4. Alhambra</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5. Catedral, Capilla Real y Hospital Real.</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6. Monasterio de la Cartuja y San Jerónimo.</w:t>
      </w:r>
    </w:p>
    <w:p>
      <w:pPr>
        <w:pStyle w:val="Normal"/>
        <w:suppressAutoHyphens w:val="false"/>
        <w:spacing w:lineRule="auto" w:line="288" w:before="0" w:after="79"/>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t>7. Gran Vía.</w:t>
      </w:r>
    </w:p>
    <w:p>
      <w:pPr>
        <w:pStyle w:val="Normal"/>
        <w:widowControl/>
        <w:suppressAutoHyphens w:val="true"/>
        <w:bidi w:val="0"/>
        <w:spacing w:lineRule="auto" w:line="276" w:before="0" w:after="200"/>
        <w:jc w:val="left"/>
        <w:rPr/>
      </w:pPr>
      <w:r>
        <w:rPr/>
      </w:r>
    </w:p>
    <w:sectPr>
      <w:headerReference w:type="default" r:id="rId2"/>
      <w:type w:val="nextPage"/>
      <w:pgSz w:w="11906" w:h="16838"/>
      <w:pgMar w:left="1701" w:right="1701" w:header="708" w:top="1417" w:footer="0" w:bottom="1417"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Times">
    <w:altName w:val="Times New Roman"/>
    <w:charset w:val="01"/>
    <w:family w:val="roman"/>
    <w:pitch w:val="variable"/>
  </w:font>
  <w:font w:name="Baskerville-SemiBold">
    <w:charset w:val="01"/>
    <w:family w:val="roman"/>
    <w:pitch w:val="variable"/>
  </w:font>
  <w:font w:name="Baskerville-Italic">
    <w:charset w:val="01"/>
    <w:family w:val="roman"/>
    <w:pitch w:val="variable"/>
  </w:font>
  <w:font w:name="Baskerville">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b/>
        <w:b/>
      </w:rPr>
    </w:pPr>
    <w:r>
      <w:rPr>
        <w:b/>
      </w:rPr>
      <w:t>IES LOS NEVEROS                                                                                        DEP. GEOGRAFÍA-HISTORIA</w:t>
    </w:r>
  </w:p>
  <w:p>
    <w:pPr>
      <w:pStyle w:val="Cabecera"/>
      <w:rPr>
        <w:b/>
        <w:b/>
      </w:rPr>
    </w:pPr>
    <w:r>
      <w:rPr>
        <w:b/>
      </w:rPr>
      <w:t>PROGRAMACIÓN DIDÁCTICA.                                PATRIMONIO ARTÍSTICO DE GRANADA 2º ESO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d2359"/>
    <w:pPr>
      <w:widowControl/>
      <w:suppressAutoHyphens w:val="true"/>
      <w:bidi w:val="0"/>
      <w:spacing w:lineRule="auto" w:line="276" w:before="0" w:after="200"/>
      <w:jc w:val="left"/>
    </w:pPr>
    <w:rPr>
      <w:rFonts w:ascii="Calibri" w:hAnsi="Calibri" w:eastAsia="Calibri" w:cs="DejaVu Sans" w:asciiTheme="minorHAnsi" w:eastAsiaTheme="minorHAnsi" w:hAnsiTheme="minorHAnsi"/>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Encabezado"/>
    <w:uiPriority w:val="99"/>
    <w:qFormat/>
    <w:rsid w:val="00cd2359"/>
    <w:rPr>
      <w:rFonts w:ascii="Calibri" w:hAnsi="Calibri" w:eastAsia="Calibri" w:cs="DejaVu Sans"/>
    </w:rPr>
  </w:style>
  <w:style w:type="character" w:styleId="PiedepginaCar" w:customStyle="1">
    <w:name w:val="Pie de página Car"/>
    <w:basedOn w:val="DefaultParagraphFont"/>
    <w:link w:val="Piedepgina"/>
    <w:uiPriority w:val="99"/>
    <w:qFormat/>
    <w:rsid w:val="00cd2359"/>
    <w:rPr>
      <w:rFonts w:ascii="Calibri" w:hAnsi="Calibri" w:eastAsia="Calibri" w:cs="DejaVu Sans"/>
    </w:rPr>
  </w:style>
  <w:style w:type="character" w:styleId="ListLabel1">
    <w:name w:val="ListLabel 1"/>
    <w:qFormat/>
    <w:rPr>
      <w:rFonts w:ascii="Times New Roman" w:hAnsi="Times New Roman"/>
      <w:sz w:val="24"/>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rFonts w:ascii="Times New Roman" w:hAnsi="Times New Roman"/>
      <w:sz w:val="24"/>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rFonts w:ascii="Times New Roman" w:hAnsi="Times New Roman"/>
      <w:sz w:val="24"/>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rFonts w:ascii="Times New Roman" w:hAnsi="Times New Roman"/>
      <w:sz w:val="24"/>
    </w:rPr>
  </w:style>
  <w:style w:type="character" w:styleId="ListLabel29">
    <w:name w:val="ListLabel 29"/>
    <w:qFormat/>
    <w:rPr>
      <w:sz w:val="20"/>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rFonts w:ascii="Times New Roman" w:hAnsi="Times New Roman"/>
      <w:sz w:val="24"/>
    </w:rPr>
  </w:style>
  <w:style w:type="character" w:styleId="ListLabel38">
    <w:name w:val="ListLabel 38"/>
    <w:qFormat/>
    <w:rPr>
      <w:sz w:val="20"/>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rFonts w:ascii="Times New Roman" w:hAnsi="Times New Roman"/>
      <w:sz w:val="24"/>
    </w:rPr>
  </w:style>
  <w:style w:type="character" w:styleId="ListLabel47">
    <w:name w:val="ListLabel 47"/>
    <w:qFormat/>
    <w:rPr>
      <w:sz w:val="20"/>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rFonts w:ascii="Times New Roman" w:hAnsi="Times New Roman"/>
      <w:sz w:val="24"/>
    </w:rPr>
  </w:style>
  <w:style w:type="character" w:styleId="ListLabel56">
    <w:name w:val="ListLabel 56"/>
    <w:qFormat/>
    <w:rPr>
      <w:sz w:val="20"/>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rFonts w:ascii="Times New Roman" w:hAnsi="Times New Roman"/>
      <w:sz w:val="24"/>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rFonts w:ascii="Times New Roman" w:hAnsi="Times New Roman"/>
      <w:sz w:val="24"/>
    </w:rPr>
  </w:style>
  <w:style w:type="character" w:styleId="ListLabel74">
    <w:name w:val="ListLabel 74"/>
    <w:qFormat/>
    <w:rPr>
      <w:sz w:val="20"/>
    </w:rPr>
  </w:style>
  <w:style w:type="character" w:styleId="ListLabel75">
    <w:name w:val="ListLabel 75"/>
    <w:qFormat/>
    <w:rPr>
      <w:sz w:val="20"/>
    </w:rPr>
  </w:style>
  <w:style w:type="character" w:styleId="ListLabel76">
    <w:name w:val="ListLabel 76"/>
    <w:qFormat/>
    <w:rPr>
      <w:sz w:val="20"/>
    </w:rPr>
  </w:style>
  <w:style w:type="character" w:styleId="ListLabel77">
    <w:name w:val="ListLabel 77"/>
    <w:qFormat/>
    <w:rPr>
      <w:sz w:val="20"/>
    </w:rPr>
  </w:style>
  <w:style w:type="character" w:styleId="ListLabel78">
    <w:name w:val="ListLabel 78"/>
    <w:qFormat/>
    <w:rPr>
      <w:sz w:val="20"/>
    </w:rPr>
  </w:style>
  <w:style w:type="character" w:styleId="ListLabel79">
    <w:name w:val="ListLabel 79"/>
    <w:qFormat/>
    <w:rPr>
      <w:sz w:val="20"/>
    </w:rPr>
  </w:style>
  <w:style w:type="character" w:styleId="ListLabel80">
    <w:name w:val="ListLabel 80"/>
    <w:qFormat/>
    <w:rPr>
      <w:sz w:val="20"/>
    </w:rPr>
  </w:style>
  <w:style w:type="character" w:styleId="ListLabel81">
    <w:name w:val="ListLabel 81"/>
    <w:qFormat/>
    <w:rPr>
      <w:sz w:val="20"/>
    </w:rPr>
  </w:style>
  <w:style w:type="paragraph" w:styleId="Ttulo">
    <w:name w:val="Título"/>
    <w:basedOn w:val="Normal"/>
    <w:next w:val="Cuerpodetexto"/>
    <w:qFormat/>
    <w:pPr>
      <w:keepNext w:val="true"/>
      <w:spacing w:before="240" w:after="120"/>
    </w:pPr>
    <w:rPr>
      <w:rFonts w:ascii="Liberation Sans" w:hAnsi="Liberation Sans" w:eastAsia="Noto Sans CJK SC Regular" w:cs="Free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Cabecera">
    <w:name w:val="Header"/>
    <w:basedOn w:val="Normal"/>
    <w:link w:val="EncabezadoCar"/>
    <w:uiPriority w:val="99"/>
    <w:unhideWhenUsed/>
    <w:rsid w:val="00cd2359"/>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cd2359"/>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Application>LibreOffice/6.2.8.2$Linux_x86 LibreOffice_project/20$Build-2</Application>
  <Pages>22</Pages>
  <Words>5087</Words>
  <Characters>27898</Characters>
  <CharactersWithSpaces>32744</CharactersWithSpaces>
  <Paragraphs>324</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2021-10-27T15:24:00Z</dcterms:created>
  <dc:creator>HP</dc:creator>
  <dc:description/>
  <dc:language>es-ES</dc:language>
  <cp:lastModifiedBy/>
  <dcterms:modified xsi:type="dcterms:W3CDTF">2022-10-27T09:14:14Z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